
<file path=[Content_Types].xml><?xml version="1.0" encoding="utf-8"?>
<Types xmlns="http://schemas.openxmlformats.org/package/2006/content-types">
  <Default Extension="xml" ContentType="application/xml"/>
  <Default Extension="png" ContentType="image/png"/>
  <Default Extension="jpeg" ContentType="image/jpeg"/>
  <Default Extension="JPG" ContentType="image/.jpg"/>
  <Default Extension="rels" ContentType="application/vnd.openxmlformats-package.relationships+xml"/>
  <Override PartName="/customXml/itemProps1.xml" ContentType="application/vnd.openxmlformats-officedocument.customXmlProperties+xml"/>
  <Override PartName="/customXml/itemProps2.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ackground w:color="FFFFFF"/>
  <w:body>
    <w:p w14:paraId="0D80BE12">
      <w:pPr>
        <w:jc w:val="center"/>
        <w:rPr>
          <w:rFonts w:hint="default" w:ascii="Arial" w:hAnsi="Arial" w:cs="Arial"/>
          <w:b/>
          <w:bCs/>
          <w:kern w:val="36"/>
          <w:sz w:val="32"/>
          <w:szCs w:val="32"/>
        </w:rPr>
      </w:pPr>
      <w:bookmarkStart w:id="0" w:name="_GoBack"/>
      <w:r>
        <w:rPr>
          <w:rFonts w:hint="default" w:ascii="Arial" w:hAnsi="Arial" w:cs="Arial"/>
          <w:b/>
          <w:bCs/>
          <w:kern w:val="36"/>
          <w:sz w:val="32"/>
          <w:szCs w:val="32"/>
        </w:rPr>
        <w:t>FOH Productions Expands LED Capabilities with ROE Visual’s Topaz Series</w:t>
      </w:r>
    </w:p>
    <w:p w14:paraId="099B24DB">
      <w:pPr>
        <w:jc w:val="center"/>
        <w:rPr>
          <w:rFonts w:hint="default" w:ascii="Arial" w:hAnsi="Arial" w:cs="Arial"/>
          <w:b/>
          <w:bCs/>
          <w:kern w:val="36"/>
          <w:sz w:val="22"/>
        </w:rPr>
      </w:pPr>
    </w:p>
    <w:p w14:paraId="6506EF9D">
      <w:pPr>
        <w:rPr>
          <w:rFonts w:hint="default" w:ascii="Arial" w:hAnsi="Arial" w:cs="Arial"/>
          <w:kern w:val="0"/>
          <w:sz w:val="22"/>
        </w:rPr>
      </w:pPr>
      <w:r>
        <w:rPr>
          <w:rFonts w:hint="default" w:ascii="Arial" w:hAnsi="Arial" w:cs="Arial"/>
          <w:b/>
          <w:bCs/>
          <w:kern w:val="0"/>
          <w:sz w:val="22"/>
        </w:rPr>
        <w:t>Chatsworth, USA (October 2025)</w:t>
      </w:r>
      <w:r>
        <w:rPr>
          <w:rFonts w:hint="default" w:ascii="Arial" w:hAnsi="Arial" w:cs="Arial"/>
          <w:kern w:val="0"/>
          <w:sz w:val="22"/>
        </w:rPr>
        <w:t xml:space="preserve"> – ROE Visual is proud to share that </w:t>
      </w:r>
      <w:r>
        <w:rPr>
          <w:rFonts w:hint="default" w:ascii="Arial" w:hAnsi="Arial" w:cs="Arial"/>
          <w:b/>
          <w:bCs/>
          <w:kern w:val="0"/>
          <w:sz w:val="22"/>
        </w:rPr>
        <w:t>FOH Productions</w:t>
      </w:r>
      <w:r>
        <w:rPr>
          <w:rFonts w:hint="default" w:ascii="Arial" w:hAnsi="Arial" w:cs="Arial"/>
          <w:kern w:val="0"/>
          <w:sz w:val="22"/>
        </w:rPr>
        <w:t xml:space="preserve"> has expanded its LED video inventory with a significant investment in the </w:t>
      </w:r>
      <w:r>
        <w:rPr>
          <w:rFonts w:hint="default" w:ascii="Arial" w:hAnsi="Arial" w:cs="Arial"/>
          <w:b/>
          <w:bCs/>
          <w:kern w:val="0"/>
          <w:sz w:val="22"/>
        </w:rPr>
        <w:t>Topaz 2.6 Series</w:t>
      </w:r>
      <w:r>
        <w:rPr>
          <w:rFonts w:hint="default" w:ascii="Arial" w:hAnsi="Arial" w:cs="Arial"/>
          <w:kern w:val="0"/>
          <w:sz w:val="22"/>
        </w:rPr>
        <w:t xml:space="preserve">, strengthening the company’s creative capabilities for clients across the live events industry. The new purchase of Topaz includes </w:t>
      </w:r>
      <w:r>
        <w:rPr>
          <w:rFonts w:hint="default" w:ascii="Arial" w:hAnsi="Arial" w:cs="Arial"/>
          <w:b/>
          <w:bCs/>
          <w:kern w:val="0"/>
          <w:sz w:val="22"/>
        </w:rPr>
        <w:t>210 Flat</w:t>
      </w:r>
      <w:r>
        <w:rPr>
          <w:rFonts w:hint="default" w:ascii="Arial" w:hAnsi="Arial" w:cs="Arial"/>
          <w:kern w:val="0"/>
          <w:sz w:val="22"/>
        </w:rPr>
        <w:t xml:space="preserve">, </w:t>
      </w:r>
      <w:r>
        <w:rPr>
          <w:rFonts w:hint="default" w:ascii="Arial" w:hAnsi="Arial" w:cs="Arial"/>
          <w:b/>
          <w:bCs/>
          <w:kern w:val="0"/>
          <w:sz w:val="22"/>
        </w:rPr>
        <w:t>464 Curved</w:t>
      </w:r>
      <w:r>
        <w:rPr>
          <w:rFonts w:hint="default" w:ascii="Arial" w:hAnsi="Arial" w:cs="Arial"/>
          <w:kern w:val="0"/>
          <w:sz w:val="22"/>
        </w:rPr>
        <w:t xml:space="preserve">, and </w:t>
      </w:r>
      <w:r>
        <w:rPr>
          <w:rFonts w:hint="default" w:ascii="Arial" w:hAnsi="Arial" w:cs="Arial"/>
          <w:b/>
          <w:bCs/>
          <w:kern w:val="0"/>
          <w:sz w:val="22"/>
        </w:rPr>
        <w:t>120 Cubed</w:t>
      </w:r>
      <w:r>
        <w:rPr>
          <w:rFonts w:hint="default" w:ascii="Arial" w:hAnsi="Arial" w:cs="Arial"/>
          <w:kern w:val="0"/>
          <w:sz w:val="22"/>
        </w:rPr>
        <w:t xml:space="preserve"> panels, all running on Brompton processing, allowing FOH Productions to push the limits of design with the highest level of performance and reliability.</w:t>
      </w:r>
    </w:p>
    <w:p w14:paraId="265C56E4">
      <w:pPr>
        <w:rPr>
          <w:rFonts w:hint="default" w:ascii="Arial" w:hAnsi="Arial" w:cs="Arial"/>
          <w:kern w:val="0"/>
          <w:sz w:val="22"/>
        </w:rPr>
      </w:pPr>
    </w:p>
    <w:p w14:paraId="6882FACB">
      <w:pPr>
        <w:rPr>
          <w:rFonts w:hint="default" w:ascii="Arial" w:hAnsi="Arial" w:cs="Arial"/>
          <w:kern w:val="0"/>
          <w:sz w:val="22"/>
        </w:rPr>
      </w:pPr>
      <w:r>
        <w:rPr>
          <w:rFonts w:hint="default" w:ascii="Arial" w:hAnsi="Arial" w:cs="Arial"/>
          <w:kern w:val="0"/>
          <w:sz w:val="22"/>
        </w:rPr>
        <w:drawing>
          <wp:inline distT="0" distB="0" distL="0" distR="0">
            <wp:extent cx="5669915" cy="4252595"/>
            <wp:effectExtent l="0" t="0" r="0" b="1905"/>
            <wp:docPr id="1338172762" name="Picture 2" descr="A group of people standing in a room with a large box&#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38172762" name="Picture 2" descr="A group of people standing in a room with a large box&#10;&#10;Description automatically generated"/>
                    <pic:cNvPicPr>
                      <a:picLocks noChangeAspect="1"/>
                    </pic:cNvPicPr>
                  </pic:nvPicPr>
                  <pic:blipFill>
                    <a:blip r:embed="rId10" cstate="print">
                      <a:extLst>
                        <a:ext uri="{28A0092B-C50C-407E-A947-70E740481C1C}">
                          <a14:useLocalDpi xmlns:a14="http://schemas.microsoft.com/office/drawing/2010/main" val="0"/>
                        </a:ext>
                      </a:extLst>
                    </a:blip>
                    <a:stretch>
                      <a:fillRect/>
                    </a:stretch>
                  </pic:blipFill>
                  <pic:spPr>
                    <a:xfrm>
                      <a:off x="0" y="0"/>
                      <a:ext cx="5669915" cy="4252595"/>
                    </a:xfrm>
                    <a:prstGeom prst="rect">
                      <a:avLst/>
                    </a:prstGeom>
                  </pic:spPr>
                </pic:pic>
              </a:graphicData>
            </a:graphic>
          </wp:inline>
        </w:drawing>
      </w:r>
    </w:p>
    <w:p w14:paraId="0EEB2CED">
      <w:pPr>
        <w:rPr>
          <w:rFonts w:hint="default" w:ascii="Arial" w:hAnsi="Arial" w:cs="Arial"/>
          <w:kern w:val="0"/>
          <w:sz w:val="22"/>
        </w:rPr>
      </w:pPr>
    </w:p>
    <w:p w14:paraId="47BC3FE1">
      <w:pPr>
        <w:rPr>
          <w:rFonts w:hint="default" w:ascii="Arial" w:hAnsi="Arial" w:cs="Arial"/>
          <w:kern w:val="0"/>
          <w:sz w:val="22"/>
        </w:rPr>
      </w:pPr>
      <w:r>
        <w:rPr>
          <w:rFonts w:hint="default" w:ascii="Arial" w:hAnsi="Arial" w:cs="Arial"/>
        </w:rPr>
        <w:fldChar w:fldCharType="begin"/>
      </w:r>
      <w:r>
        <w:rPr>
          <w:rFonts w:hint="default" w:ascii="Arial" w:hAnsi="Arial" w:cs="Arial"/>
        </w:rPr>
        <w:instrText xml:space="preserve"> HYPERLINK "https://fohproductions.net/" </w:instrText>
      </w:r>
      <w:r>
        <w:rPr>
          <w:rFonts w:hint="default" w:ascii="Arial" w:hAnsi="Arial" w:cs="Arial"/>
        </w:rPr>
        <w:fldChar w:fldCharType="separate"/>
      </w:r>
      <w:r>
        <w:rPr>
          <w:rStyle w:val="18"/>
          <w:rFonts w:hint="default" w:ascii="Arial" w:hAnsi="Arial" w:cs="Arial"/>
          <w:b/>
          <w:bCs/>
          <w:kern w:val="0"/>
          <w:sz w:val="22"/>
        </w:rPr>
        <w:t>FOH Productions</w:t>
      </w:r>
      <w:r>
        <w:rPr>
          <w:rStyle w:val="18"/>
          <w:rFonts w:hint="default" w:ascii="Arial" w:hAnsi="Arial" w:cs="Arial"/>
          <w:b/>
          <w:bCs/>
          <w:kern w:val="0"/>
          <w:sz w:val="22"/>
        </w:rPr>
        <w:fldChar w:fldCharType="end"/>
      </w:r>
      <w:r>
        <w:rPr>
          <w:rFonts w:hint="default" w:ascii="Arial" w:hAnsi="Arial" w:cs="Arial"/>
          <w:kern w:val="0"/>
          <w:sz w:val="22"/>
        </w:rPr>
        <w:t xml:space="preserve"> is a full-service event production company specializing in creative design, technical expertise, and reliable execution for corporate meetings, brand launches, and large-scale live events. More than a vendor, FOH is a collaborative partner, delivering innovative solutions that ensure every event runs seamlessly and leaves a lasting impression. This commitment is backed by ongoing investment in industry-leading technology and a team of professionals driven by passion and experience.</w:t>
      </w:r>
    </w:p>
    <w:p w14:paraId="2347275F">
      <w:pPr>
        <w:rPr>
          <w:rFonts w:hint="default" w:ascii="Arial" w:hAnsi="Arial" w:cs="Arial"/>
          <w:kern w:val="0"/>
          <w:sz w:val="22"/>
        </w:rPr>
      </w:pPr>
    </w:p>
    <w:p w14:paraId="787C1B75">
      <w:pPr>
        <w:rPr>
          <w:rFonts w:hint="default" w:ascii="Arial" w:hAnsi="Arial" w:cs="Arial"/>
          <w:kern w:val="0"/>
          <w:sz w:val="22"/>
        </w:rPr>
      </w:pPr>
    </w:p>
    <w:p w14:paraId="4BA8E410">
      <w:pPr>
        <w:rPr>
          <w:rFonts w:hint="default" w:ascii="Arial" w:hAnsi="Arial" w:cs="Arial"/>
          <w:kern w:val="0"/>
          <w:sz w:val="22"/>
        </w:rPr>
      </w:pPr>
      <w:r>
        <w:rPr>
          <w:rFonts w:hint="default" w:ascii="Arial" w:hAnsi="Arial" w:cs="Arial"/>
          <w:kern w:val="0"/>
          <w:sz w:val="22"/>
        </w:rPr>
        <w:t xml:space="preserve">ROE Visual’s </w:t>
      </w:r>
      <w:r>
        <w:rPr>
          <w:rFonts w:hint="default" w:ascii="Arial" w:hAnsi="Arial" w:cs="Arial"/>
        </w:rPr>
        <w:fldChar w:fldCharType="begin"/>
      </w:r>
      <w:r>
        <w:rPr>
          <w:rFonts w:hint="default" w:ascii="Arial" w:hAnsi="Arial" w:cs="Arial"/>
        </w:rPr>
        <w:instrText xml:space="preserve"> HYPERLINK "https://www.roevisual.com/en/topaz" </w:instrText>
      </w:r>
      <w:r>
        <w:rPr>
          <w:rFonts w:hint="default" w:ascii="Arial" w:hAnsi="Arial" w:cs="Arial"/>
        </w:rPr>
        <w:fldChar w:fldCharType="separate"/>
      </w:r>
      <w:r>
        <w:rPr>
          <w:rStyle w:val="18"/>
          <w:rFonts w:hint="default" w:ascii="Arial" w:hAnsi="Arial" w:cs="Arial"/>
          <w:b/>
          <w:bCs/>
          <w:kern w:val="0"/>
          <w:sz w:val="22"/>
        </w:rPr>
        <w:t>Topaz</w:t>
      </w:r>
      <w:r>
        <w:rPr>
          <w:rStyle w:val="18"/>
          <w:rFonts w:hint="default" w:ascii="Arial" w:hAnsi="Arial" w:cs="Arial"/>
          <w:b/>
          <w:bCs/>
          <w:kern w:val="0"/>
          <w:sz w:val="22"/>
        </w:rPr>
        <w:fldChar w:fldCharType="end"/>
      </w:r>
      <w:r>
        <w:rPr>
          <w:rFonts w:hint="default" w:ascii="Arial" w:hAnsi="Arial" w:cs="Arial"/>
          <w:kern w:val="0"/>
          <w:sz w:val="22"/>
        </w:rPr>
        <w:t xml:space="preserve"> is designed for the </w:t>
      </w:r>
      <w:r>
        <w:rPr>
          <w:rFonts w:hint="default" w:ascii="Arial" w:hAnsi="Arial" w:cs="Arial"/>
          <w:b/>
          <w:bCs/>
          <w:kern w:val="0"/>
          <w:sz w:val="22"/>
        </w:rPr>
        <w:t>AV rental market</w:t>
      </w:r>
      <w:r>
        <w:rPr>
          <w:rFonts w:hint="default" w:ascii="Arial" w:hAnsi="Arial" w:cs="Arial"/>
          <w:kern w:val="0"/>
          <w:sz w:val="22"/>
        </w:rPr>
        <w:t>, offering excellent contrast, vibrant color reproduction, and a durable mechanical design suited for rapid deployment and frequent reconfiguration. From corporate productions and brand launches to concerts and large-scale events, Topaz enables professionals to achieve exceptional visual quality and creative freedom in one adaptable system.</w:t>
      </w:r>
    </w:p>
    <w:p w14:paraId="3BD1BA88">
      <w:pPr>
        <w:rPr>
          <w:rFonts w:hint="default" w:ascii="Arial" w:hAnsi="Arial" w:cs="Arial"/>
          <w:kern w:val="0"/>
          <w:sz w:val="22"/>
        </w:rPr>
      </w:pPr>
    </w:p>
    <w:p w14:paraId="2F132C77">
      <w:pPr>
        <w:rPr>
          <w:rFonts w:hint="default" w:ascii="Arial" w:hAnsi="Arial" w:cs="Arial"/>
          <w:kern w:val="0"/>
          <w:sz w:val="22"/>
        </w:rPr>
      </w:pPr>
      <w:r>
        <w:rPr>
          <w:rFonts w:hint="default" w:ascii="Arial" w:hAnsi="Arial" w:cs="Arial"/>
          <w:kern w:val="0"/>
          <w:sz w:val="22"/>
        </w:rPr>
        <w:t>For FOH Productions, the addition of Topaz reflects more than an expansion of equipment it represents the next step in the company’s commitment to creativity, innovation, and collaboration.</w:t>
      </w:r>
    </w:p>
    <w:p w14:paraId="0D9D8B01">
      <w:pPr>
        <w:rPr>
          <w:rFonts w:hint="default" w:ascii="Arial" w:hAnsi="Arial" w:cs="Arial"/>
          <w:kern w:val="0"/>
          <w:sz w:val="22"/>
        </w:rPr>
      </w:pPr>
      <w:r>
        <w:rPr>
          <w:rFonts w:hint="default" w:ascii="Arial" w:hAnsi="Arial" w:cs="Arial"/>
          <w:kern w:val="0"/>
          <w:sz w:val="22"/>
        </w:rPr>
        <w:t>“As our projects have evolved, so have the expectations from our clients,” the FOH team shared. “Every event brings new ideas, different venues, tighter timelines, and creative designs that require more flexibility from our equipment. We wanted to make sure we had the right LED platform to continue meeting those challenges.”</w:t>
      </w:r>
    </w:p>
    <w:p w14:paraId="1EAD29DB">
      <w:pPr>
        <w:rPr>
          <w:rFonts w:hint="default" w:ascii="Arial" w:hAnsi="Arial" w:cs="Arial"/>
          <w:kern w:val="0"/>
          <w:sz w:val="22"/>
        </w:rPr>
      </w:pPr>
    </w:p>
    <w:p w14:paraId="40D789B5">
      <w:pPr>
        <w:rPr>
          <w:rFonts w:hint="default" w:ascii="Arial" w:hAnsi="Arial" w:cs="Arial"/>
          <w:kern w:val="0"/>
          <w:sz w:val="22"/>
        </w:rPr>
      </w:pPr>
      <w:r>
        <w:rPr>
          <w:rFonts w:hint="default" w:ascii="Arial" w:hAnsi="Arial" w:cs="Arial"/>
          <w:kern w:val="0"/>
          <w:sz w:val="22"/>
        </w:rPr>
        <w:drawing>
          <wp:inline distT="0" distB="0" distL="0" distR="0">
            <wp:extent cx="5669915" cy="3720465"/>
            <wp:effectExtent l="0" t="0" r="0" b="635"/>
            <wp:docPr id="456940380" name="Picture 4" descr="A large screen with arches and column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56940380" name="Picture 4" descr="A large screen with arches and columns&#10;&#10;Description automatically generated"/>
                    <pic:cNvPicPr>
                      <a:picLocks noChangeAspect="1"/>
                    </pic:cNvPicPr>
                  </pic:nvPicPr>
                  <pic:blipFill>
                    <a:blip r:embed="rId11" cstate="print">
                      <a:extLst>
                        <a:ext uri="{28A0092B-C50C-407E-A947-70E740481C1C}">
                          <a14:useLocalDpi xmlns:a14="http://schemas.microsoft.com/office/drawing/2010/main" val="0"/>
                        </a:ext>
                      </a:extLst>
                    </a:blip>
                    <a:stretch>
                      <a:fillRect/>
                    </a:stretch>
                  </pic:blipFill>
                  <pic:spPr>
                    <a:xfrm>
                      <a:off x="0" y="0"/>
                      <a:ext cx="5669915" cy="3720465"/>
                    </a:xfrm>
                    <a:prstGeom prst="rect">
                      <a:avLst/>
                    </a:prstGeom>
                  </pic:spPr>
                </pic:pic>
              </a:graphicData>
            </a:graphic>
          </wp:inline>
        </w:drawing>
      </w:r>
    </w:p>
    <w:p w14:paraId="550EF588">
      <w:pPr>
        <w:rPr>
          <w:rFonts w:hint="default" w:ascii="Arial" w:hAnsi="Arial" w:cs="Arial"/>
          <w:kern w:val="0"/>
          <w:sz w:val="22"/>
        </w:rPr>
      </w:pPr>
    </w:p>
    <w:p w14:paraId="1300215F">
      <w:pPr>
        <w:rPr>
          <w:rFonts w:hint="default" w:ascii="Arial" w:hAnsi="Arial" w:cs="Arial"/>
          <w:kern w:val="0"/>
          <w:sz w:val="22"/>
        </w:rPr>
      </w:pPr>
      <w:r>
        <w:rPr>
          <w:rFonts w:hint="default" w:ascii="Arial" w:hAnsi="Arial" w:cs="Arial"/>
          <w:kern w:val="0"/>
          <w:sz w:val="22"/>
        </w:rPr>
        <w:t>The Topaz</w:t>
      </w:r>
      <w:r>
        <w:rPr>
          <w:rFonts w:hint="default" w:ascii="Arial" w:hAnsi="Arial" w:cs="Arial"/>
          <w:b/>
          <w:bCs/>
          <w:kern w:val="0"/>
          <w:sz w:val="22"/>
        </w:rPr>
        <w:t xml:space="preserve"> </w:t>
      </w:r>
      <w:r>
        <w:rPr>
          <w:rFonts w:hint="default" w:ascii="Arial" w:hAnsi="Arial" w:cs="Arial"/>
          <w:kern w:val="0"/>
          <w:sz w:val="22"/>
        </w:rPr>
        <w:t>series offers flat, curved, and cubed panel configurations, which gives the team a flexible toolkit for innovative designs. “Topaz was an easy choice for us, and honestly, it came directly from what our clients were asking for,” said FOH. “The highly curvable panels offer a welcome break from the traditional flat and rectangular LED wall structures we’ve all relied on for years. They open up new creative directions like tighter curves, cylinders, and arches while maintaining the precision and dependability we need in the field.”</w:t>
      </w:r>
    </w:p>
    <w:p w14:paraId="1722E99E">
      <w:pPr>
        <w:rPr>
          <w:rFonts w:hint="default" w:ascii="Arial" w:hAnsi="Arial" w:cs="Arial"/>
          <w:kern w:val="0"/>
          <w:sz w:val="22"/>
        </w:rPr>
      </w:pPr>
    </w:p>
    <w:p w14:paraId="301796F4">
      <w:pPr>
        <w:rPr>
          <w:rFonts w:hint="default" w:ascii="Arial" w:hAnsi="Arial" w:cs="Arial"/>
          <w:kern w:val="0"/>
          <w:sz w:val="22"/>
        </w:rPr>
      </w:pPr>
      <w:r>
        <w:rPr>
          <w:rFonts w:hint="default" w:ascii="Arial" w:hAnsi="Arial" w:cs="Arial"/>
          <w:kern w:val="0"/>
          <w:sz w:val="22"/>
        </w:rPr>
        <w:t xml:space="preserve">Compatibility was another key factor. With the same pixel pitch as FOH’s existing </w:t>
      </w:r>
      <w:r>
        <w:rPr>
          <w:rFonts w:hint="default" w:ascii="Arial" w:hAnsi="Arial" w:cs="Arial"/>
          <w:b/>
          <w:bCs/>
          <w:kern w:val="0"/>
          <w:sz w:val="22"/>
        </w:rPr>
        <w:t>ROE Graphite 2.6</w:t>
      </w:r>
      <w:r>
        <w:rPr>
          <w:rFonts w:hint="default" w:ascii="Arial" w:hAnsi="Arial" w:cs="Arial"/>
          <w:kern w:val="0"/>
          <w:sz w:val="22"/>
        </w:rPr>
        <w:t xml:space="preserve"> inventory, Topaz integrates seamlessly into their already optimized workflow, ensuring consistency across the board.</w:t>
      </w:r>
    </w:p>
    <w:p w14:paraId="796355FF">
      <w:pPr>
        <w:rPr>
          <w:rFonts w:hint="default" w:ascii="Arial" w:hAnsi="Arial" w:cs="Arial"/>
          <w:kern w:val="0"/>
          <w:sz w:val="22"/>
        </w:rPr>
      </w:pPr>
    </w:p>
    <w:p w14:paraId="28A35920">
      <w:pPr>
        <w:rPr>
          <w:rFonts w:hint="default" w:ascii="Arial" w:hAnsi="Arial" w:cs="Arial"/>
          <w:kern w:val="0"/>
          <w:sz w:val="22"/>
        </w:rPr>
      </w:pPr>
      <w:r>
        <w:rPr>
          <w:rFonts w:hint="default" w:ascii="Arial" w:hAnsi="Arial" w:cs="Arial"/>
          <w:kern w:val="0"/>
          <w:sz w:val="22"/>
        </w:rPr>
        <w:t>The relationship between FOH Productions and ROE Visual has been built on shared values and genuine collaboration. “Our history with ROE has always been positive,” shared the FOH team. “Meeting with Jason and his team in China earlier this year really reinforced why we continue to choose them. The culture of care and dedication to customer service clearly comes from the top down, and it shows in everything they do.”</w:t>
      </w:r>
    </w:p>
    <w:p w14:paraId="6579E6A8">
      <w:pPr>
        <w:rPr>
          <w:rFonts w:hint="default" w:ascii="Arial" w:hAnsi="Arial" w:cs="Arial"/>
          <w:kern w:val="0"/>
          <w:sz w:val="22"/>
        </w:rPr>
      </w:pPr>
    </w:p>
    <w:p w14:paraId="6268EC04">
      <w:pPr>
        <w:rPr>
          <w:rFonts w:hint="default" w:ascii="Arial" w:hAnsi="Arial" w:cs="Arial"/>
          <w:kern w:val="0"/>
          <w:sz w:val="22"/>
        </w:rPr>
      </w:pPr>
      <w:r>
        <w:rPr>
          <w:rFonts w:hint="default" w:ascii="Arial" w:hAnsi="Arial" w:cs="Arial"/>
          <w:b/>
          <w:bCs/>
          <w:kern w:val="36"/>
          <w:sz w:val="22"/>
        </w:rPr>
        <w:drawing>
          <wp:inline distT="0" distB="0" distL="0" distR="0">
            <wp:extent cx="5669915" cy="3219450"/>
            <wp:effectExtent l="0" t="0" r="0" b="6350"/>
            <wp:docPr id="786224082" name="Picture 3" descr="A group of men talking&#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86224082" name="Picture 3" descr="A group of men talking&#10;&#10;Description automatically generated"/>
                    <pic:cNvPicPr>
                      <a:picLocks noChangeAspect="1"/>
                    </pic:cNvPicPr>
                  </pic:nvPicPr>
                  <pic:blipFill>
                    <a:blip r:embed="rId12" cstate="print">
                      <a:extLst>
                        <a:ext uri="{28A0092B-C50C-407E-A947-70E740481C1C}">
                          <a14:useLocalDpi xmlns:a14="http://schemas.microsoft.com/office/drawing/2010/main" val="0"/>
                        </a:ext>
                      </a:extLst>
                    </a:blip>
                    <a:srcRect t="14825"/>
                    <a:stretch>
                      <a:fillRect/>
                    </a:stretch>
                  </pic:blipFill>
                  <pic:spPr>
                    <a:xfrm>
                      <a:off x="0" y="0"/>
                      <a:ext cx="5669915" cy="3219450"/>
                    </a:xfrm>
                    <a:prstGeom prst="rect">
                      <a:avLst/>
                    </a:prstGeom>
                    <a:ln>
                      <a:noFill/>
                    </a:ln>
                  </pic:spPr>
                </pic:pic>
              </a:graphicData>
            </a:graphic>
          </wp:inline>
        </w:drawing>
      </w:r>
    </w:p>
    <w:p w14:paraId="00EFDB21">
      <w:pPr>
        <w:rPr>
          <w:rFonts w:hint="default" w:ascii="Arial" w:hAnsi="Arial" w:cs="Arial"/>
          <w:kern w:val="0"/>
          <w:sz w:val="22"/>
        </w:rPr>
      </w:pPr>
    </w:p>
    <w:p w14:paraId="0C5425B3">
      <w:pPr>
        <w:rPr>
          <w:rFonts w:hint="default" w:ascii="Arial" w:hAnsi="Arial" w:cs="Arial"/>
          <w:kern w:val="0"/>
          <w:sz w:val="22"/>
        </w:rPr>
      </w:pPr>
      <w:r>
        <w:rPr>
          <w:rFonts w:hint="default" w:ascii="Arial" w:hAnsi="Arial" w:cs="Arial"/>
          <w:kern w:val="0"/>
          <w:sz w:val="22"/>
        </w:rPr>
        <w:t xml:space="preserve">“Eric has been a great friend to ROE, and I think that comes down to the shared values between our teams,” says </w:t>
      </w:r>
      <w:r>
        <w:rPr>
          <w:rFonts w:hint="default" w:ascii="Arial" w:hAnsi="Arial" w:cs="Arial"/>
          <w:b/>
          <w:bCs/>
          <w:kern w:val="0"/>
          <w:sz w:val="22"/>
        </w:rPr>
        <w:t>Frank Montero, Managing Director of ROE Visual US</w:t>
      </w:r>
      <w:r>
        <w:rPr>
          <w:rFonts w:hint="default" w:ascii="Arial" w:hAnsi="Arial" w:cs="Arial"/>
          <w:kern w:val="0"/>
          <w:sz w:val="22"/>
        </w:rPr>
        <w:t>. “Their team consistently sets a high bar and to see how much their business has grown truly reflects the care their team takes for their clients. We couldn’t be happier for FOH’s success, and we’re grateful to be able to support them however we can.</w:t>
      </w:r>
    </w:p>
    <w:p w14:paraId="3C4CC71D">
      <w:pPr>
        <w:rPr>
          <w:rFonts w:hint="default" w:ascii="Arial" w:hAnsi="Arial" w:cs="Arial"/>
          <w:kern w:val="0"/>
          <w:sz w:val="22"/>
        </w:rPr>
      </w:pPr>
    </w:p>
    <w:p w14:paraId="2CAC9C13">
      <w:pPr>
        <w:rPr>
          <w:rFonts w:hint="default" w:ascii="Arial" w:hAnsi="Arial" w:cs="Arial"/>
          <w:color w:val="000000" w:themeColor="text1"/>
          <w14:textFill>
            <w14:solidFill>
              <w14:schemeClr w14:val="tx1"/>
            </w14:solidFill>
          </w14:textFill>
        </w:rPr>
      </w:pPr>
      <w:r>
        <w:rPr>
          <w:rFonts w:hint="default" w:ascii="Arial" w:hAnsi="Arial" w:cs="Arial"/>
          <w:kern w:val="0"/>
          <w:sz w:val="22"/>
        </w:rPr>
        <w:t xml:space="preserve">“This investment is about more than technology. It is about people. The growth we have seen at FOH Productions is a direct result of the relationships we have built, the trust our clients place in us, and the support of partners like ROE who share our passion for doing things the right way.”  </w:t>
      </w:r>
      <w:r>
        <w:rPr>
          <w:rFonts w:hint="default" w:ascii="Arial" w:hAnsi="Arial" w:cs="Arial"/>
          <w:b/>
          <w:bCs/>
          <w:kern w:val="0"/>
          <w:sz w:val="22"/>
        </w:rPr>
        <w:t>Eric Gilbert, President &amp; CEO, FOH Productions</w:t>
      </w:r>
    </w:p>
    <w:p w14:paraId="2BFD1779">
      <w:pPr>
        <w:rPr>
          <w:rFonts w:hint="default" w:ascii="Arial" w:hAnsi="Arial" w:cs="Arial"/>
          <w:kern w:val="0"/>
          <w:sz w:val="22"/>
        </w:rPr>
      </w:pPr>
    </w:p>
    <w:p w14:paraId="277A353B">
      <w:pPr>
        <w:rPr>
          <w:rFonts w:hint="default" w:ascii="Arial" w:hAnsi="Arial" w:cs="Arial"/>
          <w:kern w:val="0"/>
          <w:sz w:val="22"/>
        </w:rPr>
      </w:pPr>
      <w:r>
        <w:rPr>
          <w:rFonts w:hint="default" w:ascii="Arial" w:hAnsi="Arial" w:cs="Arial"/>
          <w:kern w:val="0"/>
          <w:sz w:val="22"/>
        </w:rPr>
        <w:t xml:space="preserve">With this investment, FOH Productions reinforces its position as a </w:t>
      </w:r>
      <w:r>
        <w:rPr>
          <w:rFonts w:hint="default" w:ascii="Arial" w:hAnsi="Arial" w:cs="Arial"/>
          <w:b/>
          <w:bCs/>
          <w:kern w:val="0"/>
          <w:sz w:val="22"/>
        </w:rPr>
        <w:t>creative partner</w:t>
      </w:r>
      <w:r>
        <w:rPr>
          <w:rFonts w:hint="default" w:ascii="Arial" w:hAnsi="Arial" w:cs="Arial"/>
          <w:kern w:val="0"/>
          <w:sz w:val="22"/>
        </w:rPr>
        <w:t xml:space="preserve"> capable of bringing ambitious ideas to life through world-class technology, a talented team, and a passion for delivering exceptional experiences that </w:t>
      </w:r>
      <w:r>
        <w:rPr>
          <w:rFonts w:hint="default" w:ascii="Arial" w:hAnsi="Arial" w:eastAsia="Helvetica Neue" w:cs="Arial"/>
          <w:sz w:val="22"/>
        </w:rPr>
        <w:t>leaves a lasting impression.</w:t>
      </w:r>
    </w:p>
    <w:p w14:paraId="5E5E0125">
      <w:pPr>
        <w:rPr>
          <w:rFonts w:hint="default" w:ascii="Arial" w:hAnsi="Arial" w:cs="Arial"/>
          <w:kern w:val="0"/>
          <w:sz w:val="22"/>
        </w:rPr>
      </w:pPr>
    </w:p>
    <w:p w14:paraId="1E60A181">
      <w:pPr>
        <w:rPr>
          <w:rFonts w:hint="default" w:ascii="Arial" w:hAnsi="Arial" w:eastAsia="Helvetica Neue" w:cs="Arial"/>
          <w:b/>
          <w:bCs/>
          <w:sz w:val="22"/>
        </w:rPr>
      </w:pPr>
    </w:p>
    <w:p w14:paraId="2B3364AA">
      <w:pPr>
        <w:rPr>
          <w:rFonts w:hint="default" w:ascii="Arial" w:hAnsi="Arial" w:eastAsia="Helvetica Neue" w:cs="Arial"/>
          <w:b/>
          <w:bCs/>
          <w:sz w:val="22"/>
        </w:rPr>
      </w:pPr>
    </w:p>
    <w:p w14:paraId="1CACD701">
      <w:pPr>
        <w:rPr>
          <w:rFonts w:hint="default" w:ascii="Arial" w:hAnsi="Arial" w:eastAsia="Helvetica Neue" w:cs="Arial"/>
          <w:b/>
          <w:bCs/>
          <w:sz w:val="22"/>
        </w:rPr>
      </w:pPr>
    </w:p>
    <w:p w14:paraId="73152796">
      <w:pPr>
        <w:rPr>
          <w:rFonts w:hint="default" w:ascii="Arial" w:hAnsi="Arial" w:eastAsia="Helvetica Neue" w:cs="Arial"/>
          <w:b/>
          <w:bCs/>
          <w:sz w:val="22"/>
        </w:rPr>
      </w:pPr>
      <w:r>
        <w:rPr>
          <w:rFonts w:hint="default" w:ascii="Arial" w:hAnsi="Arial" w:eastAsia="Helvetica Neue" w:cs="Arial"/>
          <w:b/>
          <w:bCs/>
          <w:sz w:val="22"/>
        </w:rPr>
        <w:t>About FOH Productions</w:t>
      </w:r>
    </w:p>
    <w:p w14:paraId="54165C15">
      <w:pPr>
        <w:rPr>
          <w:rFonts w:hint="default" w:ascii="Arial" w:hAnsi="Arial" w:eastAsia="Helvetica Neue" w:cs="Arial"/>
          <w:sz w:val="22"/>
        </w:rPr>
      </w:pPr>
      <w:r>
        <w:rPr>
          <w:rFonts w:hint="default" w:ascii="Arial" w:hAnsi="Arial" w:eastAsia="Helvetica Neue" w:cs="Arial"/>
          <w:sz w:val="22"/>
        </w:rPr>
        <w:t>FOH Productions is a full-service event production company dedicated to helping clients connect with their audiences in meaningful, genuine ways. From corporate meetings and brand launches to large-scale live events, FOH delivers creative design, technical expertise, and dependable execution that bring every vision to life. The company strives to be more than just a vendor, they aim to be a true creative partner. With a focus on collaboration, innovation, and reliability, FOH Productions ensures every event stands out for the right reasons and leaves a lasting impression.</w:t>
      </w:r>
    </w:p>
    <w:p w14:paraId="7393A6C8">
      <w:pPr>
        <w:rPr>
          <w:rFonts w:hint="default" w:ascii="Arial" w:hAnsi="Arial" w:eastAsia="Helvetica Neue" w:cs="Arial"/>
          <w:sz w:val="22"/>
        </w:rPr>
      </w:pPr>
    </w:p>
    <w:p w14:paraId="692D1302">
      <w:pPr>
        <w:rPr>
          <w:rFonts w:hint="default" w:ascii="Arial" w:hAnsi="Arial" w:eastAsia="Helvetica Neue" w:cs="Arial"/>
          <w:sz w:val="22"/>
        </w:rPr>
      </w:pPr>
      <w:r>
        <w:rPr>
          <w:rFonts w:hint="default" w:ascii="Arial" w:hAnsi="Arial" w:eastAsia="Helvetica Neue" w:cs="Arial"/>
          <w:sz w:val="22"/>
        </w:rPr>
        <w:t xml:space="preserve">More info: </w:t>
      </w:r>
      <w:r>
        <w:rPr>
          <w:rFonts w:hint="default" w:ascii="Arial" w:hAnsi="Arial" w:cs="Arial"/>
        </w:rPr>
        <w:fldChar w:fldCharType="begin"/>
      </w:r>
      <w:r>
        <w:rPr>
          <w:rFonts w:hint="default" w:ascii="Arial" w:hAnsi="Arial" w:cs="Arial"/>
        </w:rPr>
        <w:instrText xml:space="preserve"> HYPERLINK "https://fohproductions.net/" </w:instrText>
      </w:r>
      <w:r>
        <w:rPr>
          <w:rFonts w:hint="default" w:ascii="Arial" w:hAnsi="Arial" w:cs="Arial"/>
        </w:rPr>
        <w:fldChar w:fldCharType="separate"/>
      </w:r>
      <w:r>
        <w:rPr>
          <w:rStyle w:val="18"/>
          <w:rFonts w:hint="default" w:ascii="Arial" w:hAnsi="Arial" w:eastAsia="Helvetica Neue" w:cs="Arial"/>
          <w:sz w:val="22"/>
        </w:rPr>
        <w:t>https://fohproductions.net/</w:t>
      </w:r>
      <w:r>
        <w:rPr>
          <w:rStyle w:val="18"/>
          <w:rFonts w:hint="default" w:ascii="Arial" w:hAnsi="Arial" w:eastAsia="Helvetica Neue" w:cs="Arial"/>
          <w:sz w:val="22"/>
        </w:rPr>
        <w:fldChar w:fldCharType="end"/>
      </w:r>
    </w:p>
    <w:p w14:paraId="2B398F5D">
      <w:pPr>
        <w:rPr>
          <w:rFonts w:hint="default" w:ascii="Arial" w:hAnsi="Arial" w:cs="Arial"/>
          <w:color w:val="70AD47" w:themeColor="accent6"/>
          <w:kern w:val="0"/>
          <w:sz w:val="22"/>
          <w14:textFill>
            <w14:solidFill>
              <w14:schemeClr w14:val="accent6"/>
            </w14:solidFill>
          </w14:textFill>
        </w:rPr>
      </w:pPr>
    </w:p>
    <w:p w14:paraId="236AF1D3">
      <w:pPr>
        <w:rPr>
          <w:rFonts w:hint="default" w:ascii="Arial" w:hAnsi="Arial" w:eastAsia="Helvetica Neue" w:cs="Arial"/>
          <w:b/>
          <w:bCs/>
          <w:sz w:val="22"/>
        </w:rPr>
      </w:pPr>
    </w:p>
    <w:p w14:paraId="639FECE2">
      <w:pPr>
        <w:rPr>
          <w:rFonts w:hint="default" w:ascii="Arial" w:hAnsi="Arial" w:eastAsia="Helvetica Neue" w:cs="Arial"/>
          <w:b/>
          <w:bCs/>
          <w:sz w:val="22"/>
        </w:rPr>
      </w:pPr>
      <w:r>
        <w:rPr>
          <w:rFonts w:hint="default" w:ascii="Arial" w:hAnsi="Arial" w:eastAsia="Helvetica Neue" w:cs="Arial"/>
          <w:b/>
          <w:bCs/>
          <w:sz w:val="22"/>
        </w:rPr>
        <w:t xml:space="preserve">About ROE Visual: </w:t>
      </w:r>
    </w:p>
    <w:p w14:paraId="1485E6FD">
      <w:pPr>
        <w:rPr>
          <w:rFonts w:hint="default" w:ascii="Arial" w:hAnsi="Arial" w:cs="Arial"/>
          <w:kern w:val="0"/>
          <w:sz w:val="22"/>
        </w:rPr>
      </w:pPr>
      <w:r>
        <w:rPr>
          <w:rFonts w:hint="default" w:ascii="Arial" w:hAnsi="Arial" w:cs="Arial"/>
          <w:kern w:val="0"/>
          <w:sz w:val="22"/>
        </w:rPr>
        <w:t>ROE Visual delivers cutting-edge LED display technology that empowers creatives, designers, and technical professionals worldwide to bring their visions to life.</w:t>
      </w:r>
    </w:p>
    <w:p w14:paraId="5112DF03">
      <w:pPr>
        <w:rPr>
          <w:rFonts w:hint="default" w:ascii="Arial" w:hAnsi="Arial" w:cs="Arial"/>
          <w:kern w:val="0"/>
          <w:sz w:val="22"/>
        </w:rPr>
      </w:pPr>
      <w:r>
        <w:rPr>
          <w:rFonts w:hint="default" w:ascii="Arial" w:hAnsi="Arial" w:cs="Arial"/>
          <w:kern w:val="0"/>
          <w:sz w:val="22"/>
        </w:rPr>
        <w:t>Founded in 2006, ROE Visual creates the world's finest LED display solutions by combining advanced technology, premium components, and a passion for innovation. This dedication has set ROE Visual as the industry standard in markets spanning Touring, Virtual Production, Broadcast, and Fixed Installation.</w:t>
      </w:r>
    </w:p>
    <w:p w14:paraId="073A70A6">
      <w:pPr>
        <w:rPr>
          <w:rFonts w:hint="default" w:ascii="Arial" w:hAnsi="Arial" w:cs="Arial"/>
          <w:kern w:val="0"/>
          <w:sz w:val="22"/>
        </w:rPr>
      </w:pPr>
      <w:r>
        <w:rPr>
          <w:rFonts w:hint="default" w:ascii="Arial" w:hAnsi="Arial" w:cs="Arial"/>
          <w:kern w:val="0"/>
          <w:sz w:val="22"/>
        </w:rPr>
        <w:t>With headquarters in China and a robust network of regional offices, ROE Visual provides expert knowledge, personalized service, and comprehensive global support.</w:t>
      </w:r>
    </w:p>
    <w:p w14:paraId="6BF8EF8D">
      <w:pPr>
        <w:rPr>
          <w:rFonts w:hint="default" w:ascii="Arial" w:hAnsi="Arial" w:cs="Arial"/>
          <w:kern w:val="0"/>
          <w:sz w:val="22"/>
        </w:rPr>
      </w:pPr>
    </w:p>
    <w:p w14:paraId="385B445A">
      <w:pPr>
        <w:rPr>
          <w:rFonts w:hint="default" w:ascii="Arial" w:hAnsi="Arial" w:cs="Arial"/>
          <w:color w:val="70AD47" w:themeColor="accent6"/>
          <w:kern w:val="0"/>
          <w:sz w:val="22"/>
          <w14:textFill>
            <w14:solidFill>
              <w14:schemeClr w14:val="accent6"/>
            </w14:solidFill>
          </w14:textFill>
        </w:rPr>
      </w:pPr>
      <w:r>
        <w:rPr>
          <w:rFonts w:hint="default" w:ascii="Arial" w:hAnsi="Arial" w:eastAsia="Helvetica Neue" w:cs="Arial"/>
          <w:sz w:val="22"/>
        </w:rPr>
        <w:t xml:space="preserve">More info: </w:t>
      </w:r>
      <w:r>
        <w:rPr>
          <w:rFonts w:hint="default" w:ascii="Arial" w:hAnsi="Arial" w:cs="Arial"/>
        </w:rPr>
        <w:fldChar w:fldCharType="begin"/>
      </w:r>
      <w:r>
        <w:rPr>
          <w:rFonts w:hint="default" w:ascii="Arial" w:hAnsi="Arial" w:cs="Arial"/>
        </w:rPr>
        <w:instrText xml:space="preserve"> HYPERLINK "http://www.roevisual.com/en/" </w:instrText>
      </w:r>
      <w:r>
        <w:rPr>
          <w:rFonts w:hint="default" w:ascii="Arial" w:hAnsi="Arial" w:cs="Arial"/>
        </w:rPr>
        <w:fldChar w:fldCharType="separate"/>
      </w:r>
      <w:r>
        <w:rPr>
          <w:rStyle w:val="18"/>
          <w:rFonts w:hint="default" w:ascii="Arial" w:hAnsi="Arial" w:eastAsia="Helvetica Neue" w:cs="Arial"/>
          <w:sz w:val="22"/>
        </w:rPr>
        <w:t>www.roevisual.com/en/</w:t>
      </w:r>
      <w:r>
        <w:rPr>
          <w:rStyle w:val="18"/>
          <w:rFonts w:hint="default" w:ascii="Arial" w:hAnsi="Arial" w:eastAsia="Helvetica Neue" w:cs="Arial"/>
          <w:sz w:val="22"/>
        </w:rPr>
        <w:fldChar w:fldCharType="end"/>
      </w:r>
    </w:p>
    <w:bookmarkEnd w:id="0"/>
    <w:sectPr>
      <w:headerReference r:id="rId5" w:type="first"/>
      <w:footerReference r:id="rId8" w:type="first"/>
      <w:headerReference r:id="rId3" w:type="default"/>
      <w:footerReference r:id="rId6" w:type="default"/>
      <w:headerReference r:id="rId4" w:type="even"/>
      <w:footerReference r:id="rId7" w:type="even"/>
      <w:pgSz w:w="11906" w:h="16838"/>
      <w:pgMar w:top="1701" w:right="1588" w:bottom="1622" w:left="1389" w:header="851" w:footer="992" w:gutter="0"/>
      <w:cols w:space="720"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2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000247B" w:usb2="00000009" w:usb3="00000000" w:csb0="200001FF" w:csb1="00000000"/>
  </w:font>
  <w:font w:name="Calibri Light">
    <w:panose1 w:val="020F0302020204030204"/>
    <w:charset w:val="00"/>
    <w:family w:val="swiss"/>
    <w:pitch w:val="default"/>
    <w:sig w:usb0="E4002EFF" w:usb1="C000247B" w:usb2="00000009" w:usb3="00000000" w:csb0="200001FF" w:csb1="00000000"/>
  </w:font>
  <w:font w:name="等线 Light">
    <w:panose1 w:val="02010600030101010101"/>
    <w:charset w:val="86"/>
    <w:family w:val="auto"/>
    <w:pitch w:val="default"/>
    <w:sig w:usb0="A00002BF" w:usb1="38CF7CFA" w:usb2="00000016" w:usb3="00000000" w:csb0="0004000F" w:csb1="00000000"/>
  </w:font>
  <w:font w:name="等线">
    <w:panose1 w:val="02010600030101010101"/>
    <w:charset w:val="86"/>
    <w:family w:val="auto"/>
    <w:pitch w:val="default"/>
    <w:sig w:usb0="A00002BF" w:usb1="38CF7CFA" w:usb2="00000016" w:usb3="00000000" w:csb0="0004000F" w:csb1="00000000"/>
  </w:font>
  <w:font w:name="Myriad Pro">
    <w:altName w:val="Segoe Print"/>
    <w:panose1 w:val="020B0604020202020204"/>
    <w:charset w:val="00"/>
    <w:family w:val="swiss"/>
    <w:pitch w:val="default"/>
    <w:sig w:usb0="00000000" w:usb1="00000000" w:usb2="00000000" w:usb3="00000000" w:csb0="0000019F" w:csb1="00000000"/>
  </w:font>
  <w:font w:name="Arial">
    <w:panose1 w:val="020B0604020202020204"/>
    <w:charset w:val="00"/>
    <w:family w:val="swiss"/>
    <w:pitch w:val="default"/>
    <w:sig w:usb0="E0002EFF" w:usb1="C000785B" w:usb2="00000009" w:usb3="00000000" w:csb0="400001FF" w:csb1="FFFF0000"/>
  </w:font>
  <w:font w:name="Helvetica Neue">
    <w:altName w:val="Times New Roman"/>
    <w:panose1 w:val="02000503000000020004"/>
    <w:charset w:val="00"/>
    <w:family w:val="auto"/>
    <w:pitch w:val="default"/>
    <w:sig w:usb0="00000000" w:usb1="00000000" w:usb2="00000010" w:usb3="00000000" w:csb0="00000001" w:csb1="00000000"/>
  </w:font>
  <w:font w:name="Segoe Print">
    <w:panose1 w:val="02000600000000000000"/>
    <w:charset w:val="00"/>
    <w:family w:val="auto"/>
    <w:pitch w:val="default"/>
    <w:sig w:usb0="0000028F" w:usb1="00000000" w:usb2="00000000" w:usb3="00000000" w:csb0="2000009F" w:csb1="4701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55728623">
    <w:pPr>
      <w:rPr>
        <w:sz w:val="18"/>
        <w:szCs w:val="18"/>
      </w:rPr>
    </w:pPr>
    <w:r>
      <mc:AlternateContent>
        <mc:Choice Requires="wps">
          <w:drawing>
            <wp:anchor distT="0" distB="0" distL="114300" distR="114300" simplePos="0" relativeHeight="251660288" behindDoc="0" locked="0" layoutInCell="1" allowOverlap="1">
              <wp:simplePos x="0" y="0"/>
              <wp:positionH relativeFrom="column">
                <wp:posOffset>4505960</wp:posOffset>
              </wp:positionH>
              <wp:positionV relativeFrom="paragraph">
                <wp:posOffset>-40640</wp:posOffset>
              </wp:positionV>
              <wp:extent cx="2268220" cy="509905"/>
              <wp:effectExtent l="0" t="0" r="0" b="0"/>
              <wp:wrapNone/>
              <wp:docPr id="4" name="文本框 1"/>
              <wp:cNvGraphicFramePr/>
              <a:graphic xmlns:a="http://schemas.openxmlformats.org/drawingml/2006/main">
                <a:graphicData uri="http://schemas.microsoft.com/office/word/2010/wordprocessingShape">
                  <wps:wsp>
                    <wps:cNvSpPr txBox="1"/>
                    <wps:spPr bwMode="auto">
                      <a:xfrm>
                        <a:off x="0" y="0"/>
                        <a:ext cx="2268220" cy="509905"/>
                      </a:xfrm>
                      <a:prstGeom prst="rect">
                        <a:avLst/>
                      </a:prstGeom>
                      <a:solidFill>
                        <a:srgbClr val="FFFFFF"/>
                      </a:solidFill>
                      <a:ln>
                        <a:noFill/>
                      </a:ln>
                    </wps:spPr>
                    <wps:txbx>
                      <w:txbxContent>
                        <w:p w14:paraId="69AAB430">
                          <w:pPr>
                            <w:rPr>
                              <w:sz w:val="18"/>
                              <w:szCs w:val="18"/>
                            </w:rPr>
                          </w:pPr>
                          <w:r>
                            <w:rPr>
                              <w:rFonts w:hint="eastAsia"/>
                              <w:sz w:val="18"/>
                              <w:szCs w:val="18"/>
                            </w:rPr>
                            <w:t>T:</w:t>
                          </w:r>
                          <w:r>
                            <w:rPr>
                              <w:sz w:val="18"/>
                              <w:szCs w:val="18"/>
                            </w:rPr>
                            <w:t xml:space="preserve"> </w:t>
                          </w:r>
                          <w:r>
                            <w:rPr>
                              <w:rFonts w:hint="eastAsia"/>
                              <w:sz w:val="18"/>
                              <w:szCs w:val="18"/>
                            </w:rPr>
                            <w:t>+</w:t>
                          </w:r>
                          <w:r>
                            <w:rPr>
                              <w:sz w:val="18"/>
                              <w:szCs w:val="18"/>
                            </w:rPr>
                            <w:t>1 (747) 229-9190</w:t>
                          </w:r>
                        </w:p>
                        <w:p w14:paraId="54CF7B30">
                          <w:pPr>
                            <w:rPr>
                              <w:sz w:val="18"/>
                              <w:szCs w:val="18"/>
                            </w:rPr>
                          </w:pPr>
                          <w:r>
                            <w:rPr>
                              <w:rFonts w:hint="eastAsia"/>
                              <w:sz w:val="18"/>
                              <w:szCs w:val="18"/>
                            </w:rPr>
                            <w:t xml:space="preserve">E: </w:t>
                          </w:r>
                          <w:r>
                            <w:fldChar w:fldCharType="begin"/>
                          </w:r>
                          <w:r>
                            <w:instrText xml:space="preserve"> HYPERLINK "mailto:marketing@roevisual.com" </w:instrText>
                          </w:r>
                          <w:r>
                            <w:fldChar w:fldCharType="separate"/>
                          </w:r>
                          <w:r>
                            <w:rPr>
                              <w:rStyle w:val="18"/>
                              <w:sz w:val="18"/>
                              <w:szCs w:val="18"/>
                            </w:rPr>
                            <w:t>marketing@roevisual.com</w:t>
                          </w:r>
                          <w:r>
                            <w:rPr>
                              <w:rStyle w:val="18"/>
                              <w:sz w:val="18"/>
                              <w:szCs w:val="18"/>
                            </w:rPr>
                            <w:fldChar w:fldCharType="end"/>
                          </w:r>
                        </w:p>
                        <w:p w14:paraId="36B5D3E7">
                          <w:pPr>
                            <w:rPr>
                              <w:sz w:val="18"/>
                              <w:szCs w:val="18"/>
                            </w:rPr>
                          </w:pPr>
                          <w:r>
                            <w:fldChar w:fldCharType="begin"/>
                          </w:r>
                          <w:r>
                            <w:instrText xml:space="preserve"> HYPERLINK "http://www.roevisual.com" </w:instrText>
                          </w:r>
                          <w:r>
                            <w:fldChar w:fldCharType="separate"/>
                          </w:r>
                          <w:r>
                            <w:rPr>
                              <w:rStyle w:val="18"/>
                              <w:rFonts w:hint="eastAsia"/>
                              <w:sz w:val="18"/>
                              <w:szCs w:val="18"/>
                            </w:rPr>
                            <w:t>www.roevisual.com</w:t>
                          </w:r>
                          <w:r>
                            <w:rPr>
                              <w:rStyle w:val="18"/>
                              <w:rFonts w:hint="eastAsia"/>
                              <w:sz w:val="18"/>
                              <w:szCs w:val="18"/>
                            </w:rPr>
                            <w:fldChar w:fldCharType="end"/>
                          </w:r>
                        </w:p>
                      </w:txbxContent>
                    </wps:txbx>
                    <wps:bodyPr rot="0" vert="horz" wrap="square" lIns="91440" tIns="45720" rIns="91440" bIns="45720" anchor="t" anchorCtr="0" upright="1">
                      <a:spAutoFit/>
                    </wps:bodyPr>
                  </wps:wsp>
                </a:graphicData>
              </a:graphic>
              <wp14:sizeRelH relativeFrom="margin">
                <wp14:pctWidth>40000</wp14:pctWidth>
              </wp14:sizeRelH>
              <wp14:sizeRelV relativeFrom="margin">
                <wp14:pctHeight>20000</wp14:pctHeight>
              </wp14:sizeRelV>
            </wp:anchor>
          </w:drawing>
        </mc:Choice>
        <mc:Fallback>
          <w:pict>
            <v:shape id="文本框 1" o:spid="_x0000_s1026" o:spt="202" type="#_x0000_t202" style="position:absolute;left:0pt;margin-left:354.8pt;margin-top:-3.2pt;height:40.15pt;width:178.6pt;z-index:251660288;mso-width-relative:margin;mso-height-relative:margin;mso-width-percent:400;mso-height-percent:200;" fillcolor="#FFFFFF" filled="t" stroked="f" coordsize="21600,21600" o:gfxdata="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">
              <v:fill on="t" focussize="0,0"/>
              <v:stroke on="f"/>
              <v:imagedata o:title=""/>
              <o:lock v:ext="edit" aspectratio="f"/>
              <v:textbox style="mso-fit-shape-to-text:t;">
                <w:txbxContent>
                  <w:p w14:paraId="69AAB430">
                    <w:pPr>
                      <w:rPr>
                        <w:sz w:val="18"/>
                        <w:szCs w:val="18"/>
                      </w:rPr>
                    </w:pPr>
                    <w:r>
                      <w:rPr>
                        <w:rFonts w:hint="eastAsia"/>
                        <w:sz w:val="18"/>
                        <w:szCs w:val="18"/>
                      </w:rPr>
                      <w:t>T:</w:t>
                    </w:r>
                    <w:r>
                      <w:rPr>
                        <w:sz w:val="18"/>
                        <w:szCs w:val="18"/>
                      </w:rPr>
                      <w:t xml:space="preserve"> </w:t>
                    </w:r>
                    <w:r>
                      <w:rPr>
                        <w:rFonts w:hint="eastAsia"/>
                        <w:sz w:val="18"/>
                        <w:szCs w:val="18"/>
                      </w:rPr>
                      <w:t>+</w:t>
                    </w:r>
                    <w:r>
                      <w:rPr>
                        <w:sz w:val="18"/>
                        <w:szCs w:val="18"/>
                      </w:rPr>
                      <w:t>1 (747) 229-9190</w:t>
                    </w:r>
                  </w:p>
                  <w:p w14:paraId="54CF7B30">
                    <w:pPr>
                      <w:rPr>
                        <w:sz w:val="18"/>
                        <w:szCs w:val="18"/>
                      </w:rPr>
                    </w:pPr>
                    <w:r>
                      <w:rPr>
                        <w:rFonts w:hint="eastAsia"/>
                        <w:sz w:val="18"/>
                        <w:szCs w:val="18"/>
                      </w:rPr>
                      <w:t xml:space="preserve">E: </w:t>
                    </w:r>
                    <w:r>
                      <w:fldChar w:fldCharType="begin"/>
                    </w:r>
                    <w:r>
                      <w:instrText xml:space="preserve"> HYPERLINK "mailto:marketing@roevisual.com" </w:instrText>
                    </w:r>
                    <w:r>
                      <w:fldChar w:fldCharType="separate"/>
                    </w:r>
                    <w:r>
                      <w:rPr>
                        <w:rStyle w:val="18"/>
                        <w:sz w:val="18"/>
                        <w:szCs w:val="18"/>
                      </w:rPr>
                      <w:t>marketing@roevisual.com</w:t>
                    </w:r>
                    <w:r>
                      <w:rPr>
                        <w:rStyle w:val="18"/>
                        <w:sz w:val="18"/>
                        <w:szCs w:val="18"/>
                      </w:rPr>
                      <w:fldChar w:fldCharType="end"/>
                    </w:r>
                  </w:p>
                  <w:p w14:paraId="36B5D3E7">
                    <w:pPr>
                      <w:rPr>
                        <w:sz w:val="18"/>
                        <w:szCs w:val="18"/>
                      </w:rPr>
                    </w:pPr>
                    <w:r>
                      <w:fldChar w:fldCharType="begin"/>
                    </w:r>
                    <w:r>
                      <w:instrText xml:space="preserve"> HYPERLINK "http://www.roevisual.com" </w:instrText>
                    </w:r>
                    <w:r>
                      <w:fldChar w:fldCharType="separate"/>
                    </w:r>
                    <w:r>
                      <w:rPr>
                        <w:rStyle w:val="18"/>
                        <w:rFonts w:hint="eastAsia"/>
                        <w:sz w:val="18"/>
                        <w:szCs w:val="18"/>
                      </w:rPr>
                      <w:t>www.roevisual.com</w:t>
                    </w:r>
                    <w:r>
                      <w:rPr>
                        <w:rStyle w:val="18"/>
                        <w:rFonts w:hint="eastAsia"/>
                        <w:sz w:val="18"/>
                        <w:szCs w:val="18"/>
                      </w:rPr>
                      <w:fldChar w:fldCharType="end"/>
                    </w:r>
                  </w:p>
                </w:txbxContent>
              </v:textbox>
            </v:shape>
          </w:pict>
        </mc:Fallback>
      </mc:AlternateContent>
    </w:r>
    <w:r>
      <w:rPr>
        <w:rFonts w:hint="eastAsia"/>
        <w:sz w:val="18"/>
        <w:szCs w:val="18"/>
      </w:rPr>
      <w:t xml:space="preserve">ROE Visual </w:t>
    </w:r>
    <w:r>
      <w:rPr>
        <w:sz w:val="18"/>
        <w:szCs w:val="18"/>
      </w:rPr>
      <w:t>US, Inc.</w:t>
    </w:r>
  </w:p>
  <w:p w14:paraId="2590CAD4">
    <w:pPr>
      <w:rPr>
        <w:sz w:val="18"/>
        <w:szCs w:val="18"/>
      </w:rPr>
    </w:pPr>
    <w:r>
      <w:rPr>
        <w:sz w:val="18"/>
        <w:szCs w:val="18"/>
      </w:rPr>
      <w:t>9232 Eton Ave</w:t>
    </w:r>
  </w:p>
  <w:p w14:paraId="3EC1DFE3">
    <w:pPr>
      <w:rPr>
        <w:sz w:val="18"/>
        <w:szCs w:val="18"/>
      </w:rPr>
    </w:pPr>
    <w:r>
      <w:rPr>
        <w:sz w:val="18"/>
        <w:szCs w:val="18"/>
      </w:rPr>
      <w:t>Chatsworth, CA 91311</w:t>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3BCA46AF">
    <w:pPr>
      <w:pStyle w:val="9"/>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05CC05BC">
    <w:pPr>
      <w:pStyle w:val="9"/>
    </w:pPr>
  </w:p>
</w:ftr>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3881AED9">
    <w:pPr>
      <w:pStyle w:val="10"/>
      <w:pBdr>
        <w:bottom w:val="none" w:color="auto" w:sz="0" w:space="0"/>
      </w:pBdr>
    </w:pPr>
    <w:r>
      <w:drawing>
        <wp:anchor distT="0" distB="0" distL="114300" distR="114300" simplePos="0" relativeHeight="251659264" behindDoc="0" locked="0" layoutInCell="1" allowOverlap="1">
          <wp:simplePos x="0" y="0"/>
          <wp:positionH relativeFrom="column">
            <wp:posOffset>-386080</wp:posOffset>
          </wp:positionH>
          <wp:positionV relativeFrom="paragraph">
            <wp:posOffset>-251460</wp:posOffset>
          </wp:positionV>
          <wp:extent cx="7099300" cy="405765"/>
          <wp:effectExtent l="0" t="0" r="0" b="0"/>
          <wp:wrapNone/>
          <wp:docPr id="5" name="图片 2" descr="文件模板"/>
          <wp:cNvGraphicFramePr/>
          <a:graphic xmlns:a="http://schemas.openxmlformats.org/drawingml/2006/main">
            <a:graphicData uri="http://schemas.openxmlformats.org/drawingml/2006/picture">
              <pic:pic xmlns:pic="http://schemas.openxmlformats.org/drawingml/2006/picture">
                <pic:nvPicPr>
                  <pic:cNvPr id="5" name="图片 2" descr="文件模板"/>
                  <pic:cNvPicPr/>
                </pic:nvPicPr>
                <pic:blipFill>
                  <a:blip r:embed="rId1">
                    <a:extLst>
                      <a:ext uri="{28A0092B-C50C-407E-A947-70E740481C1C}">
                        <a14:useLocalDpi xmlns:a14="http://schemas.microsoft.com/office/drawing/2010/main" val="0"/>
                      </a:ext>
                    </a:extLst>
                  </a:blip>
                  <a:srcRect/>
                  <a:stretch>
                    <a:fillRect/>
                  </a:stretch>
                </pic:blipFill>
                <pic:spPr>
                  <a:xfrm>
                    <a:off x="0" y="0"/>
                    <a:ext cx="7099300" cy="405765"/>
                  </a:xfrm>
                  <a:prstGeom prst="rect">
                    <a:avLst/>
                  </a:prstGeom>
                  <a:noFill/>
                  <a:ln>
                    <a:noFill/>
                  </a:ln>
                </pic:spPr>
              </pic:pic>
            </a:graphicData>
          </a:graphic>
        </wp:anchor>
      </w:drawing>
    </w:r>
  </w:p>
  <w:p w14:paraId="621D9DD0">
    <w:pPr>
      <w:pStyle w:val="10"/>
      <w:pBdr>
        <w:bottom w:val="none" w:color="auto" w:sz="0" w:space="0"/>
      </w:pBdr>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394A3ED8">
    <w:pPr>
      <w:pStyle w:val="10"/>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47ADC506">
    <w:pPr>
      <w:pStyle w:val="10"/>
    </w:pP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07"/>
  <w:bordersDoNotSurroundHeader w:val="1"/>
  <w:bordersDoNotSurroundFooter w:val="1"/>
  <w:hideSpellingErrors/>
  <w:hideGrammaticalErrors/>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ocumentProtection w:enforcement="0"/>
  <w:defaultTabStop w:val="420"/>
  <w:drawingGridHorizontalSpacing w:val="0"/>
  <w:drawingGridVerticalSpacing w:val="156"/>
  <w:noPunctuationKerning w:val="1"/>
  <w:characterSpacingControl w:val="compressPunctuation"/>
  <w:doNotValidateAgainstSchema/>
  <w:doNotDemarcateInvalidXml/>
  <w:compat>
    <w:spaceForUL/>
    <w:balanceSingleByteDoubleByteWidth/>
    <w:doNotLeaveBackslashAlon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47670E"/>
    <w:rsid w:val="00000ED3"/>
    <w:rsid w:val="00001381"/>
    <w:rsid w:val="00001F63"/>
    <w:rsid w:val="000035DE"/>
    <w:rsid w:val="00032BAB"/>
    <w:rsid w:val="0003510C"/>
    <w:rsid w:val="00036AC8"/>
    <w:rsid w:val="000424CC"/>
    <w:rsid w:val="000433BE"/>
    <w:rsid w:val="00043865"/>
    <w:rsid w:val="00046AAF"/>
    <w:rsid w:val="00047A7B"/>
    <w:rsid w:val="00052C04"/>
    <w:rsid w:val="0005327C"/>
    <w:rsid w:val="00054886"/>
    <w:rsid w:val="000555AA"/>
    <w:rsid w:val="00056203"/>
    <w:rsid w:val="0005782C"/>
    <w:rsid w:val="00057895"/>
    <w:rsid w:val="00057E0F"/>
    <w:rsid w:val="000609FA"/>
    <w:rsid w:val="00060F6B"/>
    <w:rsid w:val="00062005"/>
    <w:rsid w:val="00062C65"/>
    <w:rsid w:val="00070A84"/>
    <w:rsid w:val="00070AA4"/>
    <w:rsid w:val="000733ED"/>
    <w:rsid w:val="000746CD"/>
    <w:rsid w:val="00075420"/>
    <w:rsid w:val="00075A04"/>
    <w:rsid w:val="00075AD9"/>
    <w:rsid w:val="0007659F"/>
    <w:rsid w:val="00077DD1"/>
    <w:rsid w:val="000805D9"/>
    <w:rsid w:val="000821FE"/>
    <w:rsid w:val="00083918"/>
    <w:rsid w:val="00084DC2"/>
    <w:rsid w:val="00086FEF"/>
    <w:rsid w:val="0008770B"/>
    <w:rsid w:val="00093256"/>
    <w:rsid w:val="00097CB8"/>
    <w:rsid w:val="000A190C"/>
    <w:rsid w:val="000A2B92"/>
    <w:rsid w:val="000A5155"/>
    <w:rsid w:val="000A5316"/>
    <w:rsid w:val="000A5341"/>
    <w:rsid w:val="000A5C21"/>
    <w:rsid w:val="000B0B9D"/>
    <w:rsid w:val="000B413C"/>
    <w:rsid w:val="000B4C72"/>
    <w:rsid w:val="000B7569"/>
    <w:rsid w:val="000B792E"/>
    <w:rsid w:val="000C090A"/>
    <w:rsid w:val="000C0C68"/>
    <w:rsid w:val="000C175E"/>
    <w:rsid w:val="000C26FF"/>
    <w:rsid w:val="000C2FE2"/>
    <w:rsid w:val="000C35D6"/>
    <w:rsid w:val="000C4DF4"/>
    <w:rsid w:val="000D009B"/>
    <w:rsid w:val="000D1D97"/>
    <w:rsid w:val="000D38A0"/>
    <w:rsid w:val="000D393D"/>
    <w:rsid w:val="000D3B1D"/>
    <w:rsid w:val="000D601E"/>
    <w:rsid w:val="000D634D"/>
    <w:rsid w:val="000D76D2"/>
    <w:rsid w:val="000E4990"/>
    <w:rsid w:val="000E6FD8"/>
    <w:rsid w:val="000F0A93"/>
    <w:rsid w:val="000F0E52"/>
    <w:rsid w:val="000F1ECC"/>
    <w:rsid w:val="000F22CE"/>
    <w:rsid w:val="000F4098"/>
    <w:rsid w:val="000F51E5"/>
    <w:rsid w:val="000F57CD"/>
    <w:rsid w:val="00100AD4"/>
    <w:rsid w:val="00103BAB"/>
    <w:rsid w:val="0010401D"/>
    <w:rsid w:val="00105459"/>
    <w:rsid w:val="001070E3"/>
    <w:rsid w:val="00112720"/>
    <w:rsid w:val="00115239"/>
    <w:rsid w:val="001156FE"/>
    <w:rsid w:val="00116768"/>
    <w:rsid w:val="00116CD2"/>
    <w:rsid w:val="00117D38"/>
    <w:rsid w:val="00123830"/>
    <w:rsid w:val="001238BF"/>
    <w:rsid w:val="001242A0"/>
    <w:rsid w:val="00130397"/>
    <w:rsid w:val="00130EF4"/>
    <w:rsid w:val="001327AD"/>
    <w:rsid w:val="001328C7"/>
    <w:rsid w:val="00135BDE"/>
    <w:rsid w:val="001361E3"/>
    <w:rsid w:val="0014018C"/>
    <w:rsid w:val="001413A7"/>
    <w:rsid w:val="001420D5"/>
    <w:rsid w:val="001426D8"/>
    <w:rsid w:val="00143FE5"/>
    <w:rsid w:val="00146A48"/>
    <w:rsid w:val="00151789"/>
    <w:rsid w:val="00151992"/>
    <w:rsid w:val="00153B22"/>
    <w:rsid w:val="00153F0F"/>
    <w:rsid w:val="0015778B"/>
    <w:rsid w:val="001609F7"/>
    <w:rsid w:val="001617BD"/>
    <w:rsid w:val="00164B2B"/>
    <w:rsid w:val="001652AA"/>
    <w:rsid w:val="001705DF"/>
    <w:rsid w:val="00172A27"/>
    <w:rsid w:val="001749ED"/>
    <w:rsid w:val="00174FFD"/>
    <w:rsid w:val="001758B2"/>
    <w:rsid w:val="001762F5"/>
    <w:rsid w:val="00176D01"/>
    <w:rsid w:val="001819B2"/>
    <w:rsid w:val="00182746"/>
    <w:rsid w:val="00183AB3"/>
    <w:rsid w:val="001861FE"/>
    <w:rsid w:val="00191053"/>
    <w:rsid w:val="00191A8A"/>
    <w:rsid w:val="001925A0"/>
    <w:rsid w:val="00193102"/>
    <w:rsid w:val="00193F29"/>
    <w:rsid w:val="00194F8E"/>
    <w:rsid w:val="0019627C"/>
    <w:rsid w:val="00196384"/>
    <w:rsid w:val="001A20A4"/>
    <w:rsid w:val="001A3067"/>
    <w:rsid w:val="001A326D"/>
    <w:rsid w:val="001A49DE"/>
    <w:rsid w:val="001A4D4C"/>
    <w:rsid w:val="001A63EE"/>
    <w:rsid w:val="001A7021"/>
    <w:rsid w:val="001B5873"/>
    <w:rsid w:val="001B5B1D"/>
    <w:rsid w:val="001B7182"/>
    <w:rsid w:val="001C13DF"/>
    <w:rsid w:val="001C1FF6"/>
    <w:rsid w:val="001C2ED1"/>
    <w:rsid w:val="001D202E"/>
    <w:rsid w:val="001D313F"/>
    <w:rsid w:val="001D31E3"/>
    <w:rsid w:val="001D3FB2"/>
    <w:rsid w:val="001D46DB"/>
    <w:rsid w:val="001D4A7C"/>
    <w:rsid w:val="001D5942"/>
    <w:rsid w:val="001E0967"/>
    <w:rsid w:val="001E0F87"/>
    <w:rsid w:val="001E221C"/>
    <w:rsid w:val="001E490A"/>
    <w:rsid w:val="001F0D46"/>
    <w:rsid w:val="001F20ED"/>
    <w:rsid w:val="001F21D1"/>
    <w:rsid w:val="001F26E3"/>
    <w:rsid w:val="001F6071"/>
    <w:rsid w:val="001F6217"/>
    <w:rsid w:val="001F668F"/>
    <w:rsid w:val="002000E7"/>
    <w:rsid w:val="002072A1"/>
    <w:rsid w:val="00210ECA"/>
    <w:rsid w:val="00212580"/>
    <w:rsid w:val="002135C6"/>
    <w:rsid w:val="00220BD6"/>
    <w:rsid w:val="00221333"/>
    <w:rsid w:val="00221EA6"/>
    <w:rsid w:val="002227F6"/>
    <w:rsid w:val="00223314"/>
    <w:rsid w:val="00223FC1"/>
    <w:rsid w:val="0022534D"/>
    <w:rsid w:val="002263AD"/>
    <w:rsid w:val="0022794C"/>
    <w:rsid w:val="002301D8"/>
    <w:rsid w:val="002334CB"/>
    <w:rsid w:val="002341FB"/>
    <w:rsid w:val="002347F0"/>
    <w:rsid w:val="0023512E"/>
    <w:rsid w:val="00236589"/>
    <w:rsid w:val="002372D6"/>
    <w:rsid w:val="002410ED"/>
    <w:rsid w:val="0024129E"/>
    <w:rsid w:val="00243672"/>
    <w:rsid w:val="00243C87"/>
    <w:rsid w:val="00244B0B"/>
    <w:rsid w:val="0024543D"/>
    <w:rsid w:val="00245AF2"/>
    <w:rsid w:val="00246CC9"/>
    <w:rsid w:val="002470F1"/>
    <w:rsid w:val="00251095"/>
    <w:rsid w:val="002517C9"/>
    <w:rsid w:val="002531D5"/>
    <w:rsid w:val="00260B10"/>
    <w:rsid w:val="00262C9E"/>
    <w:rsid w:val="002650F4"/>
    <w:rsid w:val="00271856"/>
    <w:rsid w:val="00272202"/>
    <w:rsid w:val="00274A72"/>
    <w:rsid w:val="00280F07"/>
    <w:rsid w:val="0028302E"/>
    <w:rsid w:val="00283DC2"/>
    <w:rsid w:val="00283F27"/>
    <w:rsid w:val="00286D89"/>
    <w:rsid w:val="002911DB"/>
    <w:rsid w:val="0029200A"/>
    <w:rsid w:val="002923B7"/>
    <w:rsid w:val="00295B71"/>
    <w:rsid w:val="002965DA"/>
    <w:rsid w:val="002A0E91"/>
    <w:rsid w:val="002A2629"/>
    <w:rsid w:val="002A2F57"/>
    <w:rsid w:val="002A35B0"/>
    <w:rsid w:val="002A49F9"/>
    <w:rsid w:val="002A4EA2"/>
    <w:rsid w:val="002A77AF"/>
    <w:rsid w:val="002B0667"/>
    <w:rsid w:val="002B134C"/>
    <w:rsid w:val="002B2BFB"/>
    <w:rsid w:val="002B3DA1"/>
    <w:rsid w:val="002B717E"/>
    <w:rsid w:val="002C2EFE"/>
    <w:rsid w:val="002C33B9"/>
    <w:rsid w:val="002C3DA6"/>
    <w:rsid w:val="002C633E"/>
    <w:rsid w:val="002C76F0"/>
    <w:rsid w:val="002D21D8"/>
    <w:rsid w:val="002D3533"/>
    <w:rsid w:val="002D39C9"/>
    <w:rsid w:val="002D57D9"/>
    <w:rsid w:val="002D60AE"/>
    <w:rsid w:val="002D677C"/>
    <w:rsid w:val="002E2933"/>
    <w:rsid w:val="002E38AF"/>
    <w:rsid w:val="002E4A16"/>
    <w:rsid w:val="002F0B06"/>
    <w:rsid w:val="002F116F"/>
    <w:rsid w:val="002F256E"/>
    <w:rsid w:val="002F2640"/>
    <w:rsid w:val="002F4E7C"/>
    <w:rsid w:val="00300218"/>
    <w:rsid w:val="0030021B"/>
    <w:rsid w:val="003023A1"/>
    <w:rsid w:val="00304411"/>
    <w:rsid w:val="00305277"/>
    <w:rsid w:val="0031079E"/>
    <w:rsid w:val="00311D20"/>
    <w:rsid w:val="003131D5"/>
    <w:rsid w:val="00313BF5"/>
    <w:rsid w:val="003148D9"/>
    <w:rsid w:val="00314D7A"/>
    <w:rsid w:val="0031672F"/>
    <w:rsid w:val="00317D23"/>
    <w:rsid w:val="0032109D"/>
    <w:rsid w:val="003217B9"/>
    <w:rsid w:val="0032180F"/>
    <w:rsid w:val="00321BAE"/>
    <w:rsid w:val="00324520"/>
    <w:rsid w:val="00327C84"/>
    <w:rsid w:val="00327D12"/>
    <w:rsid w:val="00327D6C"/>
    <w:rsid w:val="003325EC"/>
    <w:rsid w:val="00333A7E"/>
    <w:rsid w:val="00334BD4"/>
    <w:rsid w:val="0033677C"/>
    <w:rsid w:val="00337878"/>
    <w:rsid w:val="00340D5F"/>
    <w:rsid w:val="00341FED"/>
    <w:rsid w:val="00343925"/>
    <w:rsid w:val="00344D18"/>
    <w:rsid w:val="003452E9"/>
    <w:rsid w:val="003506CE"/>
    <w:rsid w:val="00350BB0"/>
    <w:rsid w:val="00351AD7"/>
    <w:rsid w:val="00351F15"/>
    <w:rsid w:val="003538AB"/>
    <w:rsid w:val="00354A6A"/>
    <w:rsid w:val="003560CF"/>
    <w:rsid w:val="0035694D"/>
    <w:rsid w:val="00357F01"/>
    <w:rsid w:val="0036099C"/>
    <w:rsid w:val="00361A41"/>
    <w:rsid w:val="00362F4B"/>
    <w:rsid w:val="003656A6"/>
    <w:rsid w:val="00365996"/>
    <w:rsid w:val="00367EC5"/>
    <w:rsid w:val="003700A6"/>
    <w:rsid w:val="0037371C"/>
    <w:rsid w:val="00374096"/>
    <w:rsid w:val="00374EA4"/>
    <w:rsid w:val="00375620"/>
    <w:rsid w:val="00382361"/>
    <w:rsid w:val="00391E1C"/>
    <w:rsid w:val="003960E7"/>
    <w:rsid w:val="003962BF"/>
    <w:rsid w:val="00397E06"/>
    <w:rsid w:val="003A0206"/>
    <w:rsid w:val="003A22C2"/>
    <w:rsid w:val="003A295D"/>
    <w:rsid w:val="003A4915"/>
    <w:rsid w:val="003A4E9E"/>
    <w:rsid w:val="003A5B04"/>
    <w:rsid w:val="003A6A4A"/>
    <w:rsid w:val="003A7649"/>
    <w:rsid w:val="003A7F7A"/>
    <w:rsid w:val="003B04A5"/>
    <w:rsid w:val="003B2BC7"/>
    <w:rsid w:val="003B3795"/>
    <w:rsid w:val="003B459D"/>
    <w:rsid w:val="003B64A5"/>
    <w:rsid w:val="003C007E"/>
    <w:rsid w:val="003C1647"/>
    <w:rsid w:val="003C2723"/>
    <w:rsid w:val="003C2A5D"/>
    <w:rsid w:val="003C3866"/>
    <w:rsid w:val="003C4189"/>
    <w:rsid w:val="003C7668"/>
    <w:rsid w:val="003D0F13"/>
    <w:rsid w:val="003D10CB"/>
    <w:rsid w:val="003D3438"/>
    <w:rsid w:val="003D3900"/>
    <w:rsid w:val="003D3CF0"/>
    <w:rsid w:val="003D558B"/>
    <w:rsid w:val="003D7988"/>
    <w:rsid w:val="003E1D24"/>
    <w:rsid w:val="003E2333"/>
    <w:rsid w:val="003E2F75"/>
    <w:rsid w:val="003E39E0"/>
    <w:rsid w:val="003E5577"/>
    <w:rsid w:val="003E67D3"/>
    <w:rsid w:val="003F28B4"/>
    <w:rsid w:val="003F31DB"/>
    <w:rsid w:val="003F47A0"/>
    <w:rsid w:val="003F56C5"/>
    <w:rsid w:val="003F66CF"/>
    <w:rsid w:val="003F7187"/>
    <w:rsid w:val="00400393"/>
    <w:rsid w:val="004016A0"/>
    <w:rsid w:val="00401AE1"/>
    <w:rsid w:val="00402511"/>
    <w:rsid w:val="004036B5"/>
    <w:rsid w:val="0040687B"/>
    <w:rsid w:val="004072FA"/>
    <w:rsid w:val="00410AA5"/>
    <w:rsid w:val="004118FC"/>
    <w:rsid w:val="00414EDC"/>
    <w:rsid w:val="0041725D"/>
    <w:rsid w:val="004174FB"/>
    <w:rsid w:val="00417F4A"/>
    <w:rsid w:val="0042329F"/>
    <w:rsid w:val="004238E0"/>
    <w:rsid w:val="00423B86"/>
    <w:rsid w:val="0042588E"/>
    <w:rsid w:val="00427279"/>
    <w:rsid w:val="00430C1C"/>
    <w:rsid w:val="00430D74"/>
    <w:rsid w:val="00432484"/>
    <w:rsid w:val="004358AA"/>
    <w:rsid w:val="00437A15"/>
    <w:rsid w:val="00441DAA"/>
    <w:rsid w:val="00445B9C"/>
    <w:rsid w:val="004473A7"/>
    <w:rsid w:val="0045141E"/>
    <w:rsid w:val="00451EA9"/>
    <w:rsid w:val="00452E17"/>
    <w:rsid w:val="00455099"/>
    <w:rsid w:val="00455E1A"/>
    <w:rsid w:val="00456E02"/>
    <w:rsid w:val="0045737C"/>
    <w:rsid w:val="00465363"/>
    <w:rsid w:val="004673A5"/>
    <w:rsid w:val="00470772"/>
    <w:rsid w:val="0047113F"/>
    <w:rsid w:val="00472DCC"/>
    <w:rsid w:val="0047670E"/>
    <w:rsid w:val="00476716"/>
    <w:rsid w:val="00476AE8"/>
    <w:rsid w:val="0047723B"/>
    <w:rsid w:val="00482793"/>
    <w:rsid w:val="00484B6E"/>
    <w:rsid w:val="00484ECA"/>
    <w:rsid w:val="00485503"/>
    <w:rsid w:val="0048609C"/>
    <w:rsid w:val="00491549"/>
    <w:rsid w:val="00491550"/>
    <w:rsid w:val="00491905"/>
    <w:rsid w:val="00492304"/>
    <w:rsid w:val="0049373E"/>
    <w:rsid w:val="0049577B"/>
    <w:rsid w:val="004965FD"/>
    <w:rsid w:val="00496A4C"/>
    <w:rsid w:val="004A2294"/>
    <w:rsid w:val="004A23A1"/>
    <w:rsid w:val="004A6B39"/>
    <w:rsid w:val="004B01E5"/>
    <w:rsid w:val="004B1234"/>
    <w:rsid w:val="004B3B8E"/>
    <w:rsid w:val="004B44B1"/>
    <w:rsid w:val="004B4D2E"/>
    <w:rsid w:val="004B59F0"/>
    <w:rsid w:val="004B7772"/>
    <w:rsid w:val="004C2890"/>
    <w:rsid w:val="004C3319"/>
    <w:rsid w:val="004D1C7E"/>
    <w:rsid w:val="004D4A7A"/>
    <w:rsid w:val="004D57A5"/>
    <w:rsid w:val="004E244B"/>
    <w:rsid w:val="004E5C96"/>
    <w:rsid w:val="004E6F72"/>
    <w:rsid w:val="004F0FD3"/>
    <w:rsid w:val="004F17E7"/>
    <w:rsid w:val="004F1B65"/>
    <w:rsid w:val="004F6CB3"/>
    <w:rsid w:val="004F6E80"/>
    <w:rsid w:val="00500453"/>
    <w:rsid w:val="00502BD1"/>
    <w:rsid w:val="00503AA3"/>
    <w:rsid w:val="00507151"/>
    <w:rsid w:val="005074E5"/>
    <w:rsid w:val="00511BC3"/>
    <w:rsid w:val="0051200E"/>
    <w:rsid w:val="00513C40"/>
    <w:rsid w:val="00515068"/>
    <w:rsid w:val="0051594F"/>
    <w:rsid w:val="00521D19"/>
    <w:rsid w:val="00522469"/>
    <w:rsid w:val="00525070"/>
    <w:rsid w:val="005260E2"/>
    <w:rsid w:val="00526709"/>
    <w:rsid w:val="00531159"/>
    <w:rsid w:val="00532787"/>
    <w:rsid w:val="00534CE4"/>
    <w:rsid w:val="00535961"/>
    <w:rsid w:val="00536AD5"/>
    <w:rsid w:val="00536BF6"/>
    <w:rsid w:val="00536FF1"/>
    <w:rsid w:val="005419C6"/>
    <w:rsid w:val="00543058"/>
    <w:rsid w:val="00550B5E"/>
    <w:rsid w:val="00557310"/>
    <w:rsid w:val="005602A2"/>
    <w:rsid w:val="0056116B"/>
    <w:rsid w:val="005644A1"/>
    <w:rsid w:val="005650B0"/>
    <w:rsid w:val="0056516F"/>
    <w:rsid w:val="005658BF"/>
    <w:rsid w:val="005665AE"/>
    <w:rsid w:val="005705A5"/>
    <w:rsid w:val="005706CD"/>
    <w:rsid w:val="00571D17"/>
    <w:rsid w:val="0057203C"/>
    <w:rsid w:val="00574F10"/>
    <w:rsid w:val="00576C16"/>
    <w:rsid w:val="0058082E"/>
    <w:rsid w:val="00581DB3"/>
    <w:rsid w:val="00582526"/>
    <w:rsid w:val="00583700"/>
    <w:rsid w:val="00585852"/>
    <w:rsid w:val="0059126D"/>
    <w:rsid w:val="0059436C"/>
    <w:rsid w:val="00594ED0"/>
    <w:rsid w:val="005A0702"/>
    <w:rsid w:val="005A2A73"/>
    <w:rsid w:val="005A420A"/>
    <w:rsid w:val="005A5C81"/>
    <w:rsid w:val="005B0A46"/>
    <w:rsid w:val="005B3565"/>
    <w:rsid w:val="005B7543"/>
    <w:rsid w:val="005C0D7F"/>
    <w:rsid w:val="005C4420"/>
    <w:rsid w:val="005C6E49"/>
    <w:rsid w:val="005D1F69"/>
    <w:rsid w:val="005D1FEE"/>
    <w:rsid w:val="005D2FE4"/>
    <w:rsid w:val="005D4741"/>
    <w:rsid w:val="005D4E60"/>
    <w:rsid w:val="005D4EFB"/>
    <w:rsid w:val="005E0334"/>
    <w:rsid w:val="005E1F13"/>
    <w:rsid w:val="005E2E11"/>
    <w:rsid w:val="005E4EBF"/>
    <w:rsid w:val="005E5085"/>
    <w:rsid w:val="005E6BC8"/>
    <w:rsid w:val="005F16EC"/>
    <w:rsid w:val="005F58E6"/>
    <w:rsid w:val="005F58FE"/>
    <w:rsid w:val="005F7FD3"/>
    <w:rsid w:val="00607AEC"/>
    <w:rsid w:val="00610CAD"/>
    <w:rsid w:val="00610CF2"/>
    <w:rsid w:val="00611883"/>
    <w:rsid w:val="00611DFA"/>
    <w:rsid w:val="006128F2"/>
    <w:rsid w:val="00612D1E"/>
    <w:rsid w:val="00614518"/>
    <w:rsid w:val="006159FF"/>
    <w:rsid w:val="00616319"/>
    <w:rsid w:val="00622815"/>
    <w:rsid w:val="00625B98"/>
    <w:rsid w:val="00630C26"/>
    <w:rsid w:val="006332EA"/>
    <w:rsid w:val="00634052"/>
    <w:rsid w:val="0063524A"/>
    <w:rsid w:val="006405AC"/>
    <w:rsid w:val="00640D55"/>
    <w:rsid w:val="006418CC"/>
    <w:rsid w:val="00641983"/>
    <w:rsid w:val="00643D7E"/>
    <w:rsid w:val="00646458"/>
    <w:rsid w:val="00646597"/>
    <w:rsid w:val="0065043F"/>
    <w:rsid w:val="00651EC4"/>
    <w:rsid w:val="006538B1"/>
    <w:rsid w:val="00653B99"/>
    <w:rsid w:val="00655A4B"/>
    <w:rsid w:val="00655BB2"/>
    <w:rsid w:val="00656D7D"/>
    <w:rsid w:val="00657293"/>
    <w:rsid w:val="006576AA"/>
    <w:rsid w:val="00666420"/>
    <w:rsid w:val="006735AE"/>
    <w:rsid w:val="00674A4F"/>
    <w:rsid w:val="006759F8"/>
    <w:rsid w:val="00681C81"/>
    <w:rsid w:val="00682BE1"/>
    <w:rsid w:val="006856BE"/>
    <w:rsid w:val="00687E17"/>
    <w:rsid w:val="0069118B"/>
    <w:rsid w:val="00691224"/>
    <w:rsid w:val="006913D0"/>
    <w:rsid w:val="006930D8"/>
    <w:rsid w:val="0069423D"/>
    <w:rsid w:val="00694612"/>
    <w:rsid w:val="00696D90"/>
    <w:rsid w:val="0069775B"/>
    <w:rsid w:val="006A10A1"/>
    <w:rsid w:val="006A1BFC"/>
    <w:rsid w:val="006A311E"/>
    <w:rsid w:val="006A43C9"/>
    <w:rsid w:val="006A4488"/>
    <w:rsid w:val="006B00BD"/>
    <w:rsid w:val="006B240B"/>
    <w:rsid w:val="006B24EF"/>
    <w:rsid w:val="006B264D"/>
    <w:rsid w:val="006B4994"/>
    <w:rsid w:val="006B4B57"/>
    <w:rsid w:val="006B4D39"/>
    <w:rsid w:val="006B51F6"/>
    <w:rsid w:val="006B687D"/>
    <w:rsid w:val="006C1DAE"/>
    <w:rsid w:val="006C2C3E"/>
    <w:rsid w:val="006C33B9"/>
    <w:rsid w:val="006C4520"/>
    <w:rsid w:val="006C4F81"/>
    <w:rsid w:val="006C623E"/>
    <w:rsid w:val="006C73F7"/>
    <w:rsid w:val="006D221B"/>
    <w:rsid w:val="006D4741"/>
    <w:rsid w:val="006D6F72"/>
    <w:rsid w:val="006E3668"/>
    <w:rsid w:val="006E37C5"/>
    <w:rsid w:val="006E49E9"/>
    <w:rsid w:val="006E704A"/>
    <w:rsid w:val="006F23A9"/>
    <w:rsid w:val="006F2D88"/>
    <w:rsid w:val="006F341B"/>
    <w:rsid w:val="006F3F66"/>
    <w:rsid w:val="00700E1C"/>
    <w:rsid w:val="00701968"/>
    <w:rsid w:val="00703921"/>
    <w:rsid w:val="00706F87"/>
    <w:rsid w:val="007112F1"/>
    <w:rsid w:val="00711804"/>
    <w:rsid w:val="0071273B"/>
    <w:rsid w:val="00716E42"/>
    <w:rsid w:val="007204A7"/>
    <w:rsid w:val="0072324F"/>
    <w:rsid w:val="0072552B"/>
    <w:rsid w:val="00726467"/>
    <w:rsid w:val="00726635"/>
    <w:rsid w:val="00733A3F"/>
    <w:rsid w:val="00734EB4"/>
    <w:rsid w:val="00735BD3"/>
    <w:rsid w:val="007366EA"/>
    <w:rsid w:val="0073686C"/>
    <w:rsid w:val="007401BD"/>
    <w:rsid w:val="00740B41"/>
    <w:rsid w:val="00742EA4"/>
    <w:rsid w:val="007439F9"/>
    <w:rsid w:val="00743CFB"/>
    <w:rsid w:val="007516C5"/>
    <w:rsid w:val="00751B67"/>
    <w:rsid w:val="00752216"/>
    <w:rsid w:val="007526B0"/>
    <w:rsid w:val="00753015"/>
    <w:rsid w:val="007531B0"/>
    <w:rsid w:val="00754146"/>
    <w:rsid w:val="0075446C"/>
    <w:rsid w:val="00754942"/>
    <w:rsid w:val="00754974"/>
    <w:rsid w:val="00754FD3"/>
    <w:rsid w:val="00756648"/>
    <w:rsid w:val="00760244"/>
    <w:rsid w:val="00760716"/>
    <w:rsid w:val="00763E12"/>
    <w:rsid w:val="00764582"/>
    <w:rsid w:val="00765E1E"/>
    <w:rsid w:val="00771515"/>
    <w:rsid w:val="00771795"/>
    <w:rsid w:val="00772871"/>
    <w:rsid w:val="00772EE8"/>
    <w:rsid w:val="00773709"/>
    <w:rsid w:val="00773CD8"/>
    <w:rsid w:val="00774543"/>
    <w:rsid w:val="0077765E"/>
    <w:rsid w:val="00781B64"/>
    <w:rsid w:val="007827B9"/>
    <w:rsid w:val="007833E0"/>
    <w:rsid w:val="007835E2"/>
    <w:rsid w:val="0078364C"/>
    <w:rsid w:val="0078365C"/>
    <w:rsid w:val="00784690"/>
    <w:rsid w:val="007856AF"/>
    <w:rsid w:val="0078656F"/>
    <w:rsid w:val="00787EE3"/>
    <w:rsid w:val="00790C54"/>
    <w:rsid w:val="00791D93"/>
    <w:rsid w:val="0079385B"/>
    <w:rsid w:val="00794225"/>
    <w:rsid w:val="00794D52"/>
    <w:rsid w:val="00796EEA"/>
    <w:rsid w:val="007A04B1"/>
    <w:rsid w:val="007A06FD"/>
    <w:rsid w:val="007A6B39"/>
    <w:rsid w:val="007A6F10"/>
    <w:rsid w:val="007B0682"/>
    <w:rsid w:val="007B1486"/>
    <w:rsid w:val="007B318A"/>
    <w:rsid w:val="007B3E6B"/>
    <w:rsid w:val="007B4AF6"/>
    <w:rsid w:val="007B66D4"/>
    <w:rsid w:val="007B6E60"/>
    <w:rsid w:val="007C01E9"/>
    <w:rsid w:val="007C1DEA"/>
    <w:rsid w:val="007C2797"/>
    <w:rsid w:val="007C5A3D"/>
    <w:rsid w:val="007D386C"/>
    <w:rsid w:val="007D3ACB"/>
    <w:rsid w:val="007D4CB3"/>
    <w:rsid w:val="007D56DD"/>
    <w:rsid w:val="007E0139"/>
    <w:rsid w:val="007E5B94"/>
    <w:rsid w:val="007E69C2"/>
    <w:rsid w:val="007F1C46"/>
    <w:rsid w:val="007F235A"/>
    <w:rsid w:val="007F3C40"/>
    <w:rsid w:val="007F49BC"/>
    <w:rsid w:val="007F59E7"/>
    <w:rsid w:val="007F6B9D"/>
    <w:rsid w:val="008004B0"/>
    <w:rsid w:val="00807453"/>
    <w:rsid w:val="00807E85"/>
    <w:rsid w:val="00807FE2"/>
    <w:rsid w:val="00810A54"/>
    <w:rsid w:val="0082091C"/>
    <w:rsid w:val="00820DF5"/>
    <w:rsid w:val="008247D2"/>
    <w:rsid w:val="00827F6E"/>
    <w:rsid w:val="0083156E"/>
    <w:rsid w:val="008319AB"/>
    <w:rsid w:val="0083310F"/>
    <w:rsid w:val="00835311"/>
    <w:rsid w:val="00835A2B"/>
    <w:rsid w:val="008370BC"/>
    <w:rsid w:val="008405A6"/>
    <w:rsid w:val="00843181"/>
    <w:rsid w:val="00846CAC"/>
    <w:rsid w:val="008511A4"/>
    <w:rsid w:val="0085142F"/>
    <w:rsid w:val="008535CD"/>
    <w:rsid w:val="00854DD8"/>
    <w:rsid w:val="00855049"/>
    <w:rsid w:val="00855865"/>
    <w:rsid w:val="00857FD9"/>
    <w:rsid w:val="008640EE"/>
    <w:rsid w:val="00866977"/>
    <w:rsid w:val="00867307"/>
    <w:rsid w:val="00867A20"/>
    <w:rsid w:val="00870986"/>
    <w:rsid w:val="00877650"/>
    <w:rsid w:val="008839A9"/>
    <w:rsid w:val="0088650B"/>
    <w:rsid w:val="00887018"/>
    <w:rsid w:val="008903EC"/>
    <w:rsid w:val="00890DED"/>
    <w:rsid w:val="00891CFA"/>
    <w:rsid w:val="00892033"/>
    <w:rsid w:val="008925D4"/>
    <w:rsid w:val="00892B33"/>
    <w:rsid w:val="00892D4B"/>
    <w:rsid w:val="00894D8E"/>
    <w:rsid w:val="008974F8"/>
    <w:rsid w:val="008A05E6"/>
    <w:rsid w:val="008A6670"/>
    <w:rsid w:val="008A6F6B"/>
    <w:rsid w:val="008A76AF"/>
    <w:rsid w:val="008B0C80"/>
    <w:rsid w:val="008B242E"/>
    <w:rsid w:val="008B50C8"/>
    <w:rsid w:val="008B59B3"/>
    <w:rsid w:val="008B62F8"/>
    <w:rsid w:val="008B766D"/>
    <w:rsid w:val="008B78DD"/>
    <w:rsid w:val="008C1F68"/>
    <w:rsid w:val="008C5FF7"/>
    <w:rsid w:val="008D2CDF"/>
    <w:rsid w:val="008D43E5"/>
    <w:rsid w:val="008D65F3"/>
    <w:rsid w:val="008E5C20"/>
    <w:rsid w:val="008E6B6E"/>
    <w:rsid w:val="008E7063"/>
    <w:rsid w:val="008F01D4"/>
    <w:rsid w:val="008F04E5"/>
    <w:rsid w:val="008F0949"/>
    <w:rsid w:val="008F5559"/>
    <w:rsid w:val="008F61CD"/>
    <w:rsid w:val="008F79DB"/>
    <w:rsid w:val="00900CA0"/>
    <w:rsid w:val="00903F61"/>
    <w:rsid w:val="009041F5"/>
    <w:rsid w:val="00905112"/>
    <w:rsid w:val="00912F79"/>
    <w:rsid w:val="009145FC"/>
    <w:rsid w:val="00915980"/>
    <w:rsid w:val="00917E9A"/>
    <w:rsid w:val="0092392E"/>
    <w:rsid w:val="00923E87"/>
    <w:rsid w:val="0092665E"/>
    <w:rsid w:val="0093076B"/>
    <w:rsid w:val="00933176"/>
    <w:rsid w:val="0093344F"/>
    <w:rsid w:val="00933A28"/>
    <w:rsid w:val="00933E5C"/>
    <w:rsid w:val="00934DA0"/>
    <w:rsid w:val="00934F08"/>
    <w:rsid w:val="00942DD8"/>
    <w:rsid w:val="00943B66"/>
    <w:rsid w:val="00943D87"/>
    <w:rsid w:val="00944A3F"/>
    <w:rsid w:val="00950A4C"/>
    <w:rsid w:val="00950BE0"/>
    <w:rsid w:val="009527A3"/>
    <w:rsid w:val="00952B00"/>
    <w:rsid w:val="00952F92"/>
    <w:rsid w:val="0095328F"/>
    <w:rsid w:val="00954CFA"/>
    <w:rsid w:val="00955FA6"/>
    <w:rsid w:val="00960428"/>
    <w:rsid w:val="00962198"/>
    <w:rsid w:val="00966307"/>
    <w:rsid w:val="00966E7E"/>
    <w:rsid w:val="00967538"/>
    <w:rsid w:val="00967DBD"/>
    <w:rsid w:val="00967E05"/>
    <w:rsid w:val="0097160A"/>
    <w:rsid w:val="00972219"/>
    <w:rsid w:val="009734E9"/>
    <w:rsid w:val="00973EEE"/>
    <w:rsid w:val="0097453E"/>
    <w:rsid w:val="009802A2"/>
    <w:rsid w:val="00980765"/>
    <w:rsid w:val="009843E4"/>
    <w:rsid w:val="00986629"/>
    <w:rsid w:val="00986A5B"/>
    <w:rsid w:val="00991EC7"/>
    <w:rsid w:val="00992107"/>
    <w:rsid w:val="00992F8D"/>
    <w:rsid w:val="00993164"/>
    <w:rsid w:val="0099323C"/>
    <w:rsid w:val="009A175F"/>
    <w:rsid w:val="009A52B6"/>
    <w:rsid w:val="009B0124"/>
    <w:rsid w:val="009B334C"/>
    <w:rsid w:val="009B3573"/>
    <w:rsid w:val="009B5F07"/>
    <w:rsid w:val="009B5F99"/>
    <w:rsid w:val="009B7559"/>
    <w:rsid w:val="009B7D11"/>
    <w:rsid w:val="009C04DF"/>
    <w:rsid w:val="009C04FB"/>
    <w:rsid w:val="009C1EDD"/>
    <w:rsid w:val="009C2A38"/>
    <w:rsid w:val="009C3377"/>
    <w:rsid w:val="009C362E"/>
    <w:rsid w:val="009C434A"/>
    <w:rsid w:val="009C4B6F"/>
    <w:rsid w:val="009C5C96"/>
    <w:rsid w:val="009D10E1"/>
    <w:rsid w:val="009D1FF2"/>
    <w:rsid w:val="009D2044"/>
    <w:rsid w:val="009D2285"/>
    <w:rsid w:val="009D4A46"/>
    <w:rsid w:val="009D5CA4"/>
    <w:rsid w:val="009D6EA3"/>
    <w:rsid w:val="009E02A2"/>
    <w:rsid w:val="009E252C"/>
    <w:rsid w:val="009E37F5"/>
    <w:rsid w:val="009E39A4"/>
    <w:rsid w:val="009E3BF1"/>
    <w:rsid w:val="009E4B42"/>
    <w:rsid w:val="009E57E2"/>
    <w:rsid w:val="009F0855"/>
    <w:rsid w:val="00A024F0"/>
    <w:rsid w:val="00A039DD"/>
    <w:rsid w:val="00A044D9"/>
    <w:rsid w:val="00A04996"/>
    <w:rsid w:val="00A055A2"/>
    <w:rsid w:val="00A0689B"/>
    <w:rsid w:val="00A13AD0"/>
    <w:rsid w:val="00A21C2A"/>
    <w:rsid w:val="00A24285"/>
    <w:rsid w:val="00A253A1"/>
    <w:rsid w:val="00A25D58"/>
    <w:rsid w:val="00A25FC3"/>
    <w:rsid w:val="00A32974"/>
    <w:rsid w:val="00A33582"/>
    <w:rsid w:val="00A3358A"/>
    <w:rsid w:val="00A33699"/>
    <w:rsid w:val="00A338C4"/>
    <w:rsid w:val="00A3444D"/>
    <w:rsid w:val="00A36AB8"/>
    <w:rsid w:val="00A41065"/>
    <w:rsid w:val="00A42C3C"/>
    <w:rsid w:val="00A437FF"/>
    <w:rsid w:val="00A443EF"/>
    <w:rsid w:val="00A4564A"/>
    <w:rsid w:val="00A4626C"/>
    <w:rsid w:val="00A46A7B"/>
    <w:rsid w:val="00A537B5"/>
    <w:rsid w:val="00A562C0"/>
    <w:rsid w:val="00A609CE"/>
    <w:rsid w:val="00A60F40"/>
    <w:rsid w:val="00A708F9"/>
    <w:rsid w:val="00A7285D"/>
    <w:rsid w:val="00A72AD6"/>
    <w:rsid w:val="00A747BA"/>
    <w:rsid w:val="00A74F9A"/>
    <w:rsid w:val="00A750B6"/>
    <w:rsid w:val="00A80463"/>
    <w:rsid w:val="00A81526"/>
    <w:rsid w:val="00A828DA"/>
    <w:rsid w:val="00A84953"/>
    <w:rsid w:val="00A90698"/>
    <w:rsid w:val="00A924F0"/>
    <w:rsid w:val="00A93910"/>
    <w:rsid w:val="00A9588B"/>
    <w:rsid w:val="00A95C37"/>
    <w:rsid w:val="00A96DDD"/>
    <w:rsid w:val="00AA0191"/>
    <w:rsid w:val="00AA022F"/>
    <w:rsid w:val="00AA08B8"/>
    <w:rsid w:val="00AA13D8"/>
    <w:rsid w:val="00AA44BD"/>
    <w:rsid w:val="00AA5AAF"/>
    <w:rsid w:val="00AA5D62"/>
    <w:rsid w:val="00AA67EF"/>
    <w:rsid w:val="00AA7A85"/>
    <w:rsid w:val="00AB0D5C"/>
    <w:rsid w:val="00AB21DE"/>
    <w:rsid w:val="00AB2795"/>
    <w:rsid w:val="00AB27ED"/>
    <w:rsid w:val="00AB3043"/>
    <w:rsid w:val="00AB535F"/>
    <w:rsid w:val="00AB572B"/>
    <w:rsid w:val="00AB582D"/>
    <w:rsid w:val="00AB6D41"/>
    <w:rsid w:val="00AB7C54"/>
    <w:rsid w:val="00AC0192"/>
    <w:rsid w:val="00AC1C27"/>
    <w:rsid w:val="00AC2025"/>
    <w:rsid w:val="00AC33E8"/>
    <w:rsid w:val="00AC3593"/>
    <w:rsid w:val="00AD0C5E"/>
    <w:rsid w:val="00AD1D3B"/>
    <w:rsid w:val="00AD4702"/>
    <w:rsid w:val="00AD529C"/>
    <w:rsid w:val="00AD580B"/>
    <w:rsid w:val="00AD7F56"/>
    <w:rsid w:val="00AE1858"/>
    <w:rsid w:val="00AE20CE"/>
    <w:rsid w:val="00AE2C55"/>
    <w:rsid w:val="00AE3536"/>
    <w:rsid w:val="00AE4C19"/>
    <w:rsid w:val="00AF2213"/>
    <w:rsid w:val="00AF4565"/>
    <w:rsid w:val="00AF4EF5"/>
    <w:rsid w:val="00AF5443"/>
    <w:rsid w:val="00AF559D"/>
    <w:rsid w:val="00AF6268"/>
    <w:rsid w:val="00AF64B5"/>
    <w:rsid w:val="00AF7F03"/>
    <w:rsid w:val="00B00651"/>
    <w:rsid w:val="00B00E4F"/>
    <w:rsid w:val="00B017A2"/>
    <w:rsid w:val="00B037EC"/>
    <w:rsid w:val="00B04F63"/>
    <w:rsid w:val="00B05D2B"/>
    <w:rsid w:val="00B06F83"/>
    <w:rsid w:val="00B07308"/>
    <w:rsid w:val="00B10A39"/>
    <w:rsid w:val="00B11138"/>
    <w:rsid w:val="00B12610"/>
    <w:rsid w:val="00B12B68"/>
    <w:rsid w:val="00B13408"/>
    <w:rsid w:val="00B13D02"/>
    <w:rsid w:val="00B16D82"/>
    <w:rsid w:val="00B17809"/>
    <w:rsid w:val="00B2291D"/>
    <w:rsid w:val="00B238C5"/>
    <w:rsid w:val="00B25FB0"/>
    <w:rsid w:val="00B267F8"/>
    <w:rsid w:val="00B27B42"/>
    <w:rsid w:val="00B30B76"/>
    <w:rsid w:val="00B315F0"/>
    <w:rsid w:val="00B32758"/>
    <w:rsid w:val="00B342C1"/>
    <w:rsid w:val="00B35CE2"/>
    <w:rsid w:val="00B36393"/>
    <w:rsid w:val="00B3755A"/>
    <w:rsid w:val="00B40E81"/>
    <w:rsid w:val="00B41403"/>
    <w:rsid w:val="00B43394"/>
    <w:rsid w:val="00B4361D"/>
    <w:rsid w:val="00B44FBD"/>
    <w:rsid w:val="00B50747"/>
    <w:rsid w:val="00B542B0"/>
    <w:rsid w:val="00B5538E"/>
    <w:rsid w:val="00B5553E"/>
    <w:rsid w:val="00B566AC"/>
    <w:rsid w:val="00B614E7"/>
    <w:rsid w:val="00B63025"/>
    <w:rsid w:val="00B64121"/>
    <w:rsid w:val="00B64ED8"/>
    <w:rsid w:val="00B72898"/>
    <w:rsid w:val="00B8048A"/>
    <w:rsid w:val="00B80596"/>
    <w:rsid w:val="00B83126"/>
    <w:rsid w:val="00B83BC9"/>
    <w:rsid w:val="00B85565"/>
    <w:rsid w:val="00B87CC0"/>
    <w:rsid w:val="00B9386D"/>
    <w:rsid w:val="00B95B17"/>
    <w:rsid w:val="00B968A2"/>
    <w:rsid w:val="00BA0052"/>
    <w:rsid w:val="00BA12E9"/>
    <w:rsid w:val="00BA1E71"/>
    <w:rsid w:val="00BA3C00"/>
    <w:rsid w:val="00BA534E"/>
    <w:rsid w:val="00BA5712"/>
    <w:rsid w:val="00BA6102"/>
    <w:rsid w:val="00BA6951"/>
    <w:rsid w:val="00BA7789"/>
    <w:rsid w:val="00BB1B1C"/>
    <w:rsid w:val="00BB26E5"/>
    <w:rsid w:val="00BB74BE"/>
    <w:rsid w:val="00BC1F51"/>
    <w:rsid w:val="00BC3666"/>
    <w:rsid w:val="00BC3893"/>
    <w:rsid w:val="00BC4FAB"/>
    <w:rsid w:val="00BC7299"/>
    <w:rsid w:val="00BC7367"/>
    <w:rsid w:val="00BD1221"/>
    <w:rsid w:val="00BD233D"/>
    <w:rsid w:val="00BD2414"/>
    <w:rsid w:val="00BD5C61"/>
    <w:rsid w:val="00BD68A1"/>
    <w:rsid w:val="00BD69E9"/>
    <w:rsid w:val="00BE0660"/>
    <w:rsid w:val="00BE0A16"/>
    <w:rsid w:val="00BE1F66"/>
    <w:rsid w:val="00BE38C4"/>
    <w:rsid w:val="00BE3CB1"/>
    <w:rsid w:val="00BE5277"/>
    <w:rsid w:val="00BF5ABA"/>
    <w:rsid w:val="00BF5D7F"/>
    <w:rsid w:val="00BF7259"/>
    <w:rsid w:val="00C001FF"/>
    <w:rsid w:val="00C00263"/>
    <w:rsid w:val="00C009CF"/>
    <w:rsid w:val="00C07B91"/>
    <w:rsid w:val="00C10129"/>
    <w:rsid w:val="00C161B5"/>
    <w:rsid w:val="00C16D44"/>
    <w:rsid w:val="00C16FAE"/>
    <w:rsid w:val="00C2142D"/>
    <w:rsid w:val="00C23369"/>
    <w:rsid w:val="00C24C84"/>
    <w:rsid w:val="00C26A50"/>
    <w:rsid w:val="00C26FA0"/>
    <w:rsid w:val="00C2714B"/>
    <w:rsid w:val="00C27447"/>
    <w:rsid w:val="00C27EC9"/>
    <w:rsid w:val="00C30886"/>
    <w:rsid w:val="00C32440"/>
    <w:rsid w:val="00C3244F"/>
    <w:rsid w:val="00C3248A"/>
    <w:rsid w:val="00C32F8F"/>
    <w:rsid w:val="00C3303B"/>
    <w:rsid w:val="00C33F5B"/>
    <w:rsid w:val="00C355FC"/>
    <w:rsid w:val="00C36EAD"/>
    <w:rsid w:val="00C37527"/>
    <w:rsid w:val="00C44BE2"/>
    <w:rsid w:val="00C4643D"/>
    <w:rsid w:val="00C51399"/>
    <w:rsid w:val="00C52436"/>
    <w:rsid w:val="00C52F31"/>
    <w:rsid w:val="00C561E9"/>
    <w:rsid w:val="00C610C8"/>
    <w:rsid w:val="00C62161"/>
    <w:rsid w:val="00C643B5"/>
    <w:rsid w:val="00C6467C"/>
    <w:rsid w:val="00C64D37"/>
    <w:rsid w:val="00C656B0"/>
    <w:rsid w:val="00C721A5"/>
    <w:rsid w:val="00C737C6"/>
    <w:rsid w:val="00C7423C"/>
    <w:rsid w:val="00C751F6"/>
    <w:rsid w:val="00C820FF"/>
    <w:rsid w:val="00C82C1A"/>
    <w:rsid w:val="00C8407F"/>
    <w:rsid w:val="00C8428E"/>
    <w:rsid w:val="00C85324"/>
    <w:rsid w:val="00C9015B"/>
    <w:rsid w:val="00C91A5F"/>
    <w:rsid w:val="00C937D6"/>
    <w:rsid w:val="00C95D66"/>
    <w:rsid w:val="00C96F62"/>
    <w:rsid w:val="00CA2DAF"/>
    <w:rsid w:val="00CA2F84"/>
    <w:rsid w:val="00CA3A01"/>
    <w:rsid w:val="00CA4CE5"/>
    <w:rsid w:val="00CA562A"/>
    <w:rsid w:val="00CA6F55"/>
    <w:rsid w:val="00CA7002"/>
    <w:rsid w:val="00CA7200"/>
    <w:rsid w:val="00CC0BE3"/>
    <w:rsid w:val="00CC1149"/>
    <w:rsid w:val="00CC17B1"/>
    <w:rsid w:val="00CC791B"/>
    <w:rsid w:val="00CD280E"/>
    <w:rsid w:val="00CD4275"/>
    <w:rsid w:val="00CD6856"/>
    <w:rsid w:val="00CE2242"/>
    <w:rsid w:val="00CE39FA"/>
    <w:rsid w:val="00CE3A7D"/>
    <w:rsid w:val="00CE5DDA"/>
    <w:rsid w:val="00CF05B8"/>
    <w:rsid w:val="00CF2170"/>
    <w:rsid w:val="00CF3D0C"/>
    <w:rsid w:val="00CF4C2B"/>
    <w:rsid w:val="00CF51CB"/>
    <w:rsid w:val="00D0138A"/>
    <w:rsid w:val="00D01ACD"/>
    <w:rsid w:val="00D02722"/>
    <w:rsid w:val="00D048F5"/>
    <w:rsid w:val="00D06836"/>
    <w:rsid w:val="00D079A2"/>
    <w:rsid w:val="00D10233"/>
    <w:rsid w:val="00D102C0"/>
    <w:rsid w:val="00D129F6"/>
    <w:rsid w:val="00D14DF6"/>
    <w:rsid w:val="00D16B3B"/>
    <w:rsid w:val="00D16FAE"/>
    <w:rsid w:val="00D17555"/>
    <w:rsid w:val="00D2105E"/>
    <w:rsid w:val="00D22B78"/>
    <w:rsid w:val="00D248ED"/>
    <w:rsid w:val="00D24977"/>
    <w:rsid w:val="00D24DE7"/>
    <w:rsid w:val="00D274D5"/>
    <w:rsid w:val="00D30F14"/>
    <w:rsid w:val="00D32E4C"/>
    <w:rsid w:val="00D33BE4"/>
    <w:rsid w:val="00D378E3"/>
    <w:rsid w:val="00D37F01"/>
    <w:rsid w:val="00D4017E"/>
    <w:rsid w:val="00D43481"/>
    <w:rsid w:val="00D53B9D"/>
    <w:rsid w:val="00D5485D"/>
    <w:rsid w:val="00D550C0"/>
    <w:rsid w:val="00D555E9"/>
    <w:rsid w:val="00D55EB5"/>
    <w:rsid w:val="00D56372"/>
    <w:rsid w:val="00D60399"/>
    <w:rsid w:val="00D649F3"/>
    <w:rsid w:val="00D64D2F"/>
    <w:rsid w:val="00D65B4B"/>
    <w:rsid w:val="00D66E0B"/>
    <w:rsid w:val="00D724E1"/>
    <w:rsid w:val="00D72BED"/>
    <w:rsid w:val="00D73269"/>
    <w:rsid w:val="00D7373E"/>
    <w:rsid w:val="00D74CF1"/>
    <w:rsid w:val="00D7599D"/>
    <w:rsid w:val="00D75F9F"/>
    <w:rsid w:val="00D77340"/>
    <w:rsid w:val="00D77F42"/>
    <w:rsid w:val="00D8185F"/>
    <w:rsid w:val="00D855AA"/>
    <w:rsid w:val="00D85A25"/>
    <w:rsid w:val="00D94CF5"/>
    <w:rsid w:val="00D95C41"/>
    <w:rsid w:val="00D9643D"/>
    <w:rsid w:val="00D964F1"/>
    <w:rsid w:val="00D972C1"/>
    <w:rsid w:val="00D97B26"/>
    <w:rsid w:val="00D97DBF"/>
    <w:rsid w:val="00DA2D13"/>
    <w:rsid w:val="00DA72F8"/>
    <w:rsid w:val="00DB1116"/>
    <w:rsid w:val="00DB548E"/>
    <w:rsid w:val="00DB6D73"/>
    <w:rsid w:val="00DB786A"/>
    <w:rsid w:val="00DC249E"/>
    <w:rsid w:val="00DC25E6"/>
    <w:rsid w:val="00DC3D1F"/>
    <w:rsid w:val="00DC49DE"/>
    <w:rsid w:val="00DC6EE7"/>
    <w:rsid w:val="00DC7110"/>
    <w:rsid w:val="00DC7631"/>
    <w:rsid w:val="00DD016D"/>
    <w:rsid w:val="00DD051B"/>
    <w:rsid w:val="00DD21CC"/>
    <w:rsid w:val="00DD3516"/>
    <w:rsid w:val="00DD44BF"/>
    <w:rsid w:val="00DD5287"/>
    <w:rsid w:val="00DD6734"/>
    <w:rsid w:val="00DD6821"/>
    <w:rsid w:val="00DE0334"/>
    <w:rsid w:val="00DE2A8E"/>
    <w:rsid w:val="00DE324A"/>
    <w:rsid w:val="00DE3FDB"/>
    <w:rsid w:val="00DE4F02"/>
    <w:rsid w:val="00DE523D"/>
    <w:rsid w:val="00DE6FD4"/>
    <w:rsid w:val="00DE73A6"/>
    <w:rsid w:val="00DE7F74"/>
    <w:rsid w:val="00DF1EFA"/>
    <w:rsid w:val="00DF7A2E"/>
    <w:rsid w:val="00E003F8"/>
    <w:rsid w:val="00E014F4"/>
    <w:rsid w:val="00E0210B"/>
    <w:rsid w:val="00E03B69"/>
    <w:rsid w:val="00E03C44"/>
    <w:rsid w:val="00E04C23"/>
    <w:rsid w:val="00E104A7"/>
    <w:rsid w:val="00E10A7B"/>
    <w:rsid w:val="00E12F1F"/>
    <w:rsid w:val="00E137A7"/>
    <w:rsid w:val="00E13A32"/>
    <w:rsid w:val="00E13B38"/>
    <w:rsid w:val="00E14ED0"/>
    <w:rsid w:val="00E16C64"/>
    <w:rsid w:val="00E22A02"/>
    <w:rsid w:val="00E235F9"/>
    <w:rsid w:val="00E244B1"/>
    <w:rsid w:val="00E24B9B"/>
    <w:rsid w:val="00E31E1A"/>
    <w:rsid w:val="00E335E3"/>
    <w:rsid w:val="00E3641A"/>
    <w:rsid w:val="00E371B8"/>
    <w:rsid w:val="00E40751"/>
    <w:rsid w:val="00E40D1B"/>
    <w:rsid w:val="00E427D0"/>
    <w:rsid w:val="00E42DAA"/>
    <w:rsid w:val="00E42F30"/>
    <w:rsid w:val="00E430D7"/>
    <w:rsid w:val="00E44E1E"/>
    <w:rsid w:val="00E45600"/>
    <w:rsid w:val="00E46A53"/>
    <w:rsid w:val="00E46CE8"/>
    <w:rsid w:val="00E46CE9"/>
    <w:rsid w:val="00E50510"/>
    <w:rsid w:val="00E54090"/>
    <w:rsid w:val="00E54661"/>
    <w:rsid w:val="00E54A15"/>
    <w:rsid w:val="00E55235"/>
    <w:rsid w:val="00E62B92"/>
    <w:rsid w:val="00E62BEC"/>
    <w:rsid w:val="00E64909"/>
    <w:rsid w:val="00E6526A"/>
    <w:rsid w:val="00E6624F"/>
    <w:rsid w:val="00E67943"/>
    <w:rsid w:val="00E732AF"/>
    <w:rsid w:val="00E75978"/>
    <w:rsid w:val="00E767E2"/>
    <w:rsid w:val="00E76B4A"/>
    <w:rsid w:val="00E827DD"/>
    <w:rsid w:val="00E8286F"/>
    <w:rsid w:val="00E833E8"/>
    <w:rsid w:val="00E836CB"/>
    <w:rsid w:val="00E83761"/>
    <w:rsid w:val="00E83AC0"/>
    <w:rsid w:val="00E846CE"/>
    <w:rsid w:val="00E84E6A"/>
    <w:rsid w:val="00E862CF"/>
    <w:rsid w:val="00E87E33"/>
    <w:rsid w:val="00E97BC2"/>
    <w:rsid w:val="00EA29BA"/>
    <w:rsid w:val="00EA64F0"/>
    <w:rsid w:val="00EB1A3D"/>
    <w:rsid w:val="00EB1CCD"/>
    <w:rsid w:val="00EB1D9E"/>
    <w:rsid w:val="00EB465E"/>
    <w:rsid w:val="00EB6E63"/>
    <w:rsid w:val="00EC19F7"/>
    <w:rsid w:val="00EC3739"/>
    <w:rsid w:val="00EC37DF"/>
    <w:rsid w:val="00EC5403"/>
    <w:rsid w:val="00EC6A51"/>
    <w:rsid w:val="00EC7E76"/>
    <w:rsid w:val="00ED04AD"/>
    <w:rsid w:val="00ED2B02"/>
    <w:rsid w:val="00ED6A6D"/>
    <w:rsid w:val="00ED7595"/>
    <w:rsid w:val="00EE00CD"/>
    <w:rsid w:val="00EE0141"/>
    <w:rsid w:val="00EE0360"/>
    <w:rsid w:val="00EE103C"/>
    <w:rsid w:val="00EE19E9"/>
    <w:rsid w:val="00EE1A52"/>
    <w:rsid w:val="00EE2647"/>
    <w:rsid w:val="00EE32D5"/>
    <w:rsid w:val="00EE7D13"/>
    <w:rsid w:val="00EF0290"/>
    <w:rsid w:val="00EF0D50"/>
    <w:rsid w:val="00EF1F7B"/>
    <w:rsid w:val="00EF2E14"/>
    <w:rsid w:val="00F0256A"/>
    <w:rsid w:val="00F04BFF"/>
    <w:rsid w:val="00F05A91"/>
    <w:rsid w:val="00F07B4E"/>
    <w:rsid w:val="00F11735"/>
    <w:rsid w:val="00F11C2B"/>
    <w:rsid w:val="00F12429"/>
    <w:rsid w:val="00F14854"/>
    <w:rsid w:val="00F1559F"/>
    <w:rsid w:val="00F16FEF"/>
    <w:rsid w:val="00F20A22"/>
    <w:rsid w:val="00F21835"/>
    <w:rsid w:val="00F24533"/>
    <w:rsid w:val="00F25DEE"/>
    <w:rsid w:val="00F26027"/>
    <w:rsid w:val="00F26482"/>
    <w:rsid w:val="00F26E7E"/>
    <w:rsid w:val="00F30539"/>
    <w:rsid w:val="00F3097B"/>
    <w:rsid w:val="00F32013"/>
    <w:rsid w:val="00F331A8"/>
    <w:rsid w:val="00F34DCC"/>
    <w:rsid w:val="00F35C49"/>
    <w:rsid w:val="00F35FAC"/>
    <w:rsid w:val="00F41985"/>
    <w:rsid w:val="00F41D17"/>
    <w:rsid w:val="00F434D5"/>
    <w:rsid w:val="00F43BAF"/>
    <w:rsid w:val="00F466DD"/>
    <w:rsid w:val="00F4727E"/>
    <w:rsid w:val="00F50747"/>
    <w:rsid w:val="00F50EED"/>
    <w:rsid w:val="00F52662"/>
    <w:rsid w:val="00F539FD"/>
    <w:rsid w:val="00F53C76"/>
    <w:rsid w:val="00F54782"/>
    <w:rsid w:val="00F54A62"/>
    <w:rsid w:val="00F54CAB"/>
    <w:rsid w:val="00F55F75"/>
    <w:rsid w:val="00F56734"/>
    <w:rsid w:val="00F60C6B"/>
    <w:rsid w:val="00F62588"/>
    <w:rsid w:val="00F6344B"/>
    <w:rsid w:val="00F64411"/>
    <w:rsid w:val="00F66A94"/>
    <w:rsid w:val="00F7211E"/>
    <w:rsid w:val="00F72677"/>
    <w:rsid w:val="00F731BB"/>
    <w:rsid w:val="00F73343"/>
    <w:rsid w:val="00F73609"/>
    <w:rsid w:val="00F75190"/>
    <w:rsid w:val="00F80342"/>
    <w:rsid w:val="00F80458"/>
    <w:rsid w:val="00F838F5"/>
    <w:rsid w:val="00F85A33"/>
    <w:rsid w:val="00F863DE"/>
    <w:rsid w:val="00F94225"/>
    <w:rsid w:val="00F95F57"/>
    <w:rsid w:val="00F9742A"/>
    <w:rsid w:val="00FA1DC1"/>
    <w:rsid w:val="00FA4FBC"/>
    <w:rsid w:val="00FA5469"/>
    <w:rsid w:val="00FA6AEF"/>
    <w:rsid w:val="00FA6B30"/>
    <w:rsid w:val="00FA7198"/>
    <w:rsid w:val="00FB00C8"/>
    <w:rsid w:val="00FB013A"/>
    <w:rsid w:val="00FB254C"/>
    <w:rsid w:val="00FB2D00"/>
    <w:rsid w:val="00FC1DBA"/>
    <w:rsid w:val="00FC23F4"/>
    <w:rsid w:val="00FC2705"/>
    <w:rsid w:val="00FC3E0A"/>
    <w:rsid w:val="00FC4389"/>
    <w:rsid w:val="00FC4406"/>
    <w:rsid w:val="00FC56D6"/>
    <w:rsid w:val="00FC7813"/>
    <w:rsid w:val="00FC7C37"/>
    <w:rsid w:val="00FD0600"/>
    <w:rsid w:val="00FD081C"/>
    <w:rsid w:val="00FD1CCC"/>
    <w:rsid w:val="00FD3312"/>
    <w:rsid w:val="00FD476A"/>
    <w:rsid w:val="00FD48EB"/>
    <w:rsid w:val="00FD6DC4"/>
    <w:rsid w:val="00FE1593"/>
    <w:rsid w:val="00FE22C4"/>
    <w:rsid w:val="00FE344C"/>
    <w:rsid w:val="00FE45E6"/>
    <w:rsid w:val="00FE49CB"/>
    <w:rsid w:val="00FE4F24"/>
    <w:rsid w:val="00FE64D5"/>
    <w:rsid w:val="00FF0565"/>
    <w:rsid w:val="00FF2939"/>
    <w:rsid w:val="00FF2D67"/>
    <w:rsid w:val="00FF5080"/>
    <w:rsid w:val="00FF5B4B"/>
    <w:rsid w:val="035C7400"/>
    <w:rsid w:val="04654848"/>
    <w:rsid w:val="0D3C5EDA"/>
    <w:rsid w:val="0E7E3E33"/>
    <w:rsid w:val="129117F0"/>
    <w:rsid w:val="164C5177"/>
    <w:rsid w:val="18AF6EAA"/>
    <w:rsid w:val="1B571712"/>
    <w:rsid w:val="22890142"/>
    <w:rsid w:val="25600337"/>
    <w:rsid w:val="2FA06CBB"/>
    <w:rsid w:val="3283448B"/>
    <w:rsid w:val="35930135"/>
    <w:rsid w:val="42554F47"/>
    <w:rsid w:val="441C5213"/>
    <w:rsid w:val="4D754219"/>
    <w:rsid w:val="4EEE524A"/>
    <w:rsid w:val="53472579"/>
    <w:rsid w:val="542B2140"/>
    <w:rsid w:val="576C10E8"/>
    <w:rsid w:val="5A596966"/>
    <w:rsid w:val="5D175FB6"/>
    <w:rsid w:val="604F1B81"/>
    <w:rsid w:val="611C42B6"/>
    <w:rsid w:val="6725019F"/>
    <w:rsid w:val="715765B2"/>
    <w:rsid w:val="7219638B"/>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imes New Roman" w:hAnsi="Times New Roman" w:eastAsia="宋体" w:cs="Times New Roman"/>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9" w:semiHidden="0" w:name="heading 1"/>
    <w:lsdException w:qFormat="1" w:uiPriority="9" w:name="heading 2"/>
    <w:lsdException w:qFormat="1" w:uiPriority="9" w:name="heading 3"/>
    <w:lsdException w:qFormat="1" w:uiPriority="9" w:name="heading 4"/>
    <w:lsdException w:qFormat="1" w:uiPriority="9" w:name="heading 5"/>
    <w:lsdException w:qFormat="1" w:uiPriority="9" w:name="heading 6"/>
    <w:lsdException w:qFormat="1" w:uiPriority="9" w:name="heading 7"/>
    <w:lsdException w:qFormat="1" w:uiPriority="9" w:name="heading 8"/>
    <w:lsdException w:qFormat="1" w:uiPriority="9" w:name="heading 9"/>
    <w:lsdException w:uiPriority="99" w:name="index 1"/>
    <w:lsdException w:uiPriority="99" w:name="index 2"/>
    <w:lsdException w:uiPriority="99" w:name="index 3"/>
    <w:lsdException w:uiPriority="99" w:name="index 4"/>
    <w:lsdException w:uiPriority="99" w:name="index 5"/>
    <w:lsdException w:uiPriority="99" w:name="index 6"/>
    <w:lsdException w:uiPriority="99" w:name="index 7"/>
    <w:lsdException w:uiPriority="99" w:name="index 8"/>
    <w:lsdException w:uiPriority="99" w:name="index 9"/>
    <w:lsdException w:uiPriority="39" w:name="toc 1"/>
    <w:lsdException w:uiPriority="39" w:name="toc 2"/>
    <w:lsdException w:uiPriority="39" w:name="toc 3"/>
    <w:lsdException w:uiPriority="39" w:name="toc 4"/>
    <w:lsdException w:uiPriority="39" w:name="toc 5"/>
    <w:lsdException w:uiPriority="39" w:name="toc 6"/>
    <w:lsdException w:uiPriority="39" w:name="toc 7"/>
    <w:lsdException w:uiPriority="39" w:name="toc 8"/>
    <w:lsdException w:uiPriority="39" w:name="toc 9"/>
    <w:lsdException w:uiPriority="99" w:name="Normal Indent"/>
    <w:lsdException w:uiPriority="99" w:name="footnote text"/>
    <w:lsdException w:qFormat="1" w:unhideWhenUsed="0" w:uiPriority="0" w:semiHidden="0" w:name="annotation text"/>
    <w:lsdException w:qFormat="1" w:unhideWhenUsed="0" w:uiPriority="0" w:semiHidden="0" w:name="header"/>
    <w:lsdException w:qFormat="1" w:unhideWhenUsed="0" w:uiPriority="0" w:semiHidden="0" w:name="footer"/>
    <w:lsdException w:uiPriority="99" w:name="index heading"/>
    <w:lsdException w:qFormat="1" w:uiPriority="35" w:name="caption"/>
    <w:lsdException w:uiPriority="99" w:name="table of figures"/>
    <w:lsdException w:uiPriority="99" w:name="envelope address"/>
    <w:lsdException w:uiPriority="99" w:name="envelope return"/>
    <w:lsdException w:uiPriority="99" w:name="footnote reference"/>
    <w:lsdException w:qFormat="1" w:uiPriority="99" w:name="annotation reference"/>
    <w:lsdException w:uiPriority="99" w:name="line number"/>
    <w:lsdException w:uiPriority="99" w:name="page number"/>
    <w:lsdException w:uiPriority="99" w:name="endnote reference"/>
    <w:lsdException w:uiPriority="99" w:name="endnote text"/>
    <w:lsdException w:uiPriority="99" w:name="table of authorities"/>
    <w:lsdException w:uiPriority="99" w:name="macro"/>
    <w:lsdException w:uiPriority="99" w:name="toa heading"/>
    <w:lsdException w:uiPriority="99" w:name="List"/>
    <w:lsdException w:uiPriority="99" w:name="List Bullet"/>
    <w:lsdException w:uiPriority="99" w:name="List Number"/>
    <w:lsdException w:uiPriority="99" w:name="List 2"/>
    <w:lsdException w:uiPriority="99" w:name="List 3"/>
    <w:lsdException w:uiPriority="99" w:name="List 4"/>
    <w:lsdException w:uiPriority="99" w:name="List 5"/>
    <w:lsdException w:uiPriority="99" w:name="List Bullet 2"/>
    <w:lsdException w:uiPriority="99" w:name="List Bullet 3"/>
    <w:lsdException w:uiPriority="99" w:name="List Bullet 4"/>
    <w:lsdException w:uiPriority="99" w:name="List Bullet 5"/>
    <w:lsdException w:uiPriority="99" w:name="List Number 2"/>
    <w:lsdException w:uiPriority="99" w:name="List Number 3"/>
    <w:lsdException w:uiPriority="99" w:name="List Number 4"/>
    <w:lsdException w:uiPriority="99" w:name="List Number 5"/>
    <w:lsdException w:qFormat="1" w:unhideWhenUsed="0" w:uiPriority="10" w:semiHidden="0" w:name="Title"/>
    <w:lsdException w:uiPriority="99" w:name="Closing"/>
    <w:lsdException w:uiPriority="99" w:name="Signature"/>
    <w:lsdException w:qFormat="1" w:uiPriority="1" w:name="Default Paragraph Font"/>
    <w:lsdException w:uiPriority="99" w:name="Body Text"/>
    <w:lsdException w:uiPriority="99" w:name="Body Text Indent"/>
    <w:lsdException w:uiPriority="99" w:name="List Continue"/>
    <w:lsdException w:uiPriority="99" w:name="List Continue 2"/>
    <w:lsdException w:uiPriority="99" w:name="List Continue 3"/>
    <w:lsdException w:uiPriority="99" w:name="List Continue 4"/>
    <w:lsdException w:uiPriority="99" w:name="List Continue 5"/>
    <w:lsdException w:uiPriority="99" w:name="Message Header"/>
    <w:lsdException w:qFormat="1" w:unhideWhenUsed="0" w:uiPriority="11" w:semiHidden="0" w:name="Subtitle"/>
    <w:lsdException w:uiPriority="99" w:name="Salutation"/>
    <w:lsdException w:qFormat="1" w:uiPriority="99" w:semiHidden="0" w:name="Date"/>
    <w:lsdException w:uiPriority="99" w:name="Body Text First Indent"/>
    <w:lsdException w:uiPriority="99" w:name="Body Text First Indent 2"/>
    <w:lsdException w:uiPriority="99" w:name="Note Heading"/>
    <w:lsdException w:uiPriority="99" w:name="Body Text 2"/>
    <w:lsdException w:uiPriority="99" w:name="Body Text 3"/>
    <w:lsdException w:uiPriority="99" w:name="Body Text Indent 2"/>
    <w:lsdException w:uiPriority="99" w:name="Body Text Indent 3"/>
    <w:lsdException w:uiPriority="99" w:name="Block Text"/>
    <w:lsdException w:qFormat="1" w:uiPriority="99" w:semiHidden="0" w:name="Hyperlink"/>
    <w:lsdException w:uiPriority="99" w:name="FollowedHyperlink"/>
    <w:lsdException w:qFormat="1" w:unhideWhenUsed="0" w:uiPriority="22" w:semiHidden="0" w:name="Strong"/>
    <w:lsdException w:qFormat="1" w:unhideWhenUsed="0" w:uiPriority="20" w:semiHidden="0" w:name="Emphasis"/>
    <w:lsdException w:uiPriority="99" w:name="Document Map"/>
    <w:lsdException w:uiPriority="99" w:name="Plain Text"/>
    <w:lsdException w:uiPriority="99" w:name="E-mail Signature"/>
    <w:lsdException w:qFormat="1" w:uiPriority="99" w:semiHidden="0" w:name="Normal (Web)"/>
    <w:lsdException w:uiPriority="99" w:name="HTML Acronym"/>
    <w:lsdException w:uiPriority="99" w:name="HTML Address"/>
    <w:lsdException w:uiPriority="99" w:name="HTML Cite"/>
    <w:lsdException w:uiPriority="99" w:name="HTML Code"/>
    <w:lsdException w:uiPriority="99" w:name="HTML Definition"/>
    <w:lsdException w:uiPriority="99" w:name="HTML Keyboard"/>
    <w:lsdException w:uiPriority="99" w:name="HTML Preformatted"/>
    <w:lsdException w:uiPriority="99" w:name="HTML Sample"/>
    <w:lsdException w:uiPriority="99" w:name="HTML Typewriter"/>
    <w:lsdException w:uiPriority="99" w:name="HTML Variable"/>
    <w:lsdException w:uiPriority="99" w:name="Normal Table"/>
    <w:lsdException w:qFormat="1" w:uiPriority="99" w:name="annotation subject"/>
    <w:lsdException w:uiPriority="99" w:name="Table Simple 1"/>
    <w:lsdException w:uiPriority="99" w:name="Table Simple 2"/>
    <w:lsdException w:uiPriority="99" w:name="Table Simple 3"/>
    <w:lsdException w:uiPriority="99" w:name="Table Classic 1"/>
    <w:lsdException w:uiPriority="99" w:name="Table Classic 2"/>
    <w:lsdException w:uiPriority="99" w:name="Table Classic 3"/>
    <w:lsdException w:uiPriority="99" w:name="Table Classic 4"/>
    <w:lsdException w:uiPriority="99" w:name="Table Colorful 1"/>
    <w:lsdException w:uiPriority="99" w:name="Table Colorful 2"/>
    <w:lsdException w:uiPriority="99" w:name="Table Colorful 3"/>
    <w:lsdException w:uiPriority="99" w:name="Table Columns 1"/>
    <w:lsdException w:uiPriority="99" w:name="Table Columns 2"/>
    <w:lsdException w:uiPriority="99" w:name="Table Columns 3"/>
    <w:lsdException w:uiPriority="99" w:name="Table Columns 4"/>
    <w:lsdException w:uiPriority="99" w:name="Table Columns 5"/>
    <w:lsdException w:uiPriority="99" w:name="Table Grid 1"/>
    <w:lsdException w:uiPriority="99" w:name="Table Grid 2"/>
    <w:lsdException w:uiPriority="99" w:name="Table Grid 3"/>
    <w:lsdException w:uiPriority="99" w:name="Table Grid 4"/>
    <w:lsdException w:uiPriority="99" w:name="Table Grid 5"/>
    <w:lsdException w:uiPriority="99" w:name="Table Grid 6"/>
    <w:lsdException w:uiPriority="99" w:name="Table Grid 7"/>
    <w:lsdException w:uiPriority="99" w:name="Table Grid 8"/>
    <w:lsdException w:uiPriority="99" w:name="Table List 1"/>
    <w:lsdException w:uiPriority="99" w:name="Table List 2"/>
    <w:lsdException w:uiPriority="99" w:name="Table List 3"/>
    <w:lsdException w:uiPriority="99" w:name="Table List 4"/>
    <w:lsdException w:uiPriority="99" w:name="Table List 5"/>
    <w:lsdException w:uiPriority="99" w:name="Table List 6"/>
    <w:lsdException w:uiPriority="99" w:name="Table List 7"/>
    <w:lsdException w:uiPriority="99" w:name="Table List 8"/>
    <w:lsdException w:uiPriority="99" w:name="Table 3D effects 1"/>
    <w:lsdException w:uiPriority="99" w:name="Table 3D effects 2"/>
    <w:lsdException w:uiPriority="99" w:name="Table 3D effects 3"/>
    <w:lsdException w:uiPriority="99" w:name="Table Contemporary"/>
    <w:lsdException w:uiPriority="99" w:name="Table Elegant"/>
    <w:lsdException w:uiPriority="99" w:name="Table Professional"/>
    <w:lsdException w:uiPriority="99" w:name="Table Subtle 1"/>
    <w:lsdException w:uiPriority="99" w:name="Table Subtle 2"/>
    <w:lsdException w:uiPriority="99" w:name="Table Web 1"/>
    <w:lsdException w:uiPriority="99" w:name="Table Web 2"/>
    <w:lsdException w:uiPriority="99" w:name="Table Web 3"/>
    <w:lsdException w:qFormat="1" w:unhideWhenUsed="0" w:uiPriority="0" w:semiHidden="0" w:name="Balloon Text"/>
    <w:lsdException w:qFormat="1" w:unhideWhenUsed="0" w:uiPriority="39" w:semiHidden="0" w:name="Table Grid"/>
    <w:lsdException w:uiPriority="99"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99" w:semiHidden="0" w:name="List Paragraph"/>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Calibri" w:hAnsi="Calibri" w:eastAsia="宋体" w:cs="黑体"/>
      <w:kern w:val="2"/>
      <w:sz w:val="21"/>
      <w:szCs w:val="22"/>
      <w:lang w:val="en-US" w:eastAsia="zh-CN" w:bidi="ar-SA"/>
    </w:rPr>
  </w:style>
  <w:style w:type="paragraph" w:styleId="2">
    <w:name w:val="heading 1"/>
    <w:basedOn w:val="1"/>
    <w:next w:val="1"/>
    <w:link w:val="28"/>
    <w:qFormat/>
    <w:uiPriority w:val="9"/>
    <w:pPr>
      <w:widowControl/>
      <w:spacing w:before="100" w:beforeAutospacing="1" w:after="100" w:afterAutospacing="1"/>
      <w:jc w:val="left"/>
      <w:outlineLvl w:val="0"/>
    </w:pPr>
    <w:rPr>
      <w:rFonts w:ascii="宋体" w:hAnsi="宋体" w:cs="宋体"/>
      <w:b/>
      <w:bCs/>
      <w:kern w:val="36"/>
      <w:sz w:val="48"/>
      <w:szCs w:val="48"/>
    </w:rPr>
  </w:style>
  <w:style w:type="paragraph" w:styleId="3">
    <w:name w:val="heading 2"/>
    <w:basedOn w:val="1"/>
    <w:next w:val="1"/>
    <w:link w:val="36"/>
    <w:semiHidden/>
    <w:unhideWhenUsed/>
    <w:qFormat/>
    <w:uiPriority w:val="9"/>
    <w:pPr>
      <w:keepNext/>
      <w:keepLines/>
      <w:spacing w:before="40"/>
      <w:outlineLvl w:val="1"/>
    </w:pPr>
    <w:rPr>
      <w:rFonts w:asciiTheme="majorHAnsi" w:hAnsiTheme="majorHAnsi" w:eastAsiaTheme="majorEastAsia" w:cstheme="majorBidi"/>
      <w:color w:val="2F5597" w:themeColor="accent1" w:themeShade="BF"/>
      <w:sz w:val="26"/>
      <w:szCs w:val="26"/>
    </w:rPr>
  </w:style>
  <w:style w:type="paragraph" w:styleId="4">
    <w:name w:val="heading 3"/>
    <w:basedOn w:val="1"/>
    <w:next w:val="1"/>
    <w:link w:val="37"/>
    <w:semiHidden/>
    <w:unhideWhenUsed/>
    <w:qFormat/>
    <w:uiPriority w:val="9"/>
    <w:pPr>
      <w:keepNext/>
      <w:keepLines/>
      <w:spacing w:before="40"/>
      <w:outlineLvl w:val="2"/>
    </w:pPr>
    <w:rPr>
      <w:rFonts w:asciiTheme="majorHAnsi" w:hAnsiTheme="majorHAnsi" w:eastAsiaTheme="majorEastAsia" w:cstheme="majorBidi"/>
      <w:color w:val="203864" w:themeColor="accent1" w:themeShade="80"/>
      <w:sz w:val="24"/>
      <w:szCs w:val="24"/>
    </w:rPr>
  </w:style>
  <w:style w:type="paragraph" w:styleId="5">
    <w:name w:val="heading 4"/>
    <w:basedOn w:val="1"/>
    <w:next w:val="1"/>
    <w:link w:val="31"/>
    <w:semiHidden/>
    <w:unhideWhenUsed/>
    <w:qFormat/>
    <w:uiPriority w:val="9"/>
    <w:pPr>
      <w:keepNext/>
      <w:keepLines/>
      <w:spacing w:before="280" w:after="290" w:line="376" w:lineRule="auto"/>
      <w:outlineLvl w:val="3"/>
    </w:pPr>
    <w:rPr>
      <w:rFonts w:ascii="等线 Light" w:hAnsi="等线 Light" w:eastAsia="等线 Light" w:cs="Times New Roman"/>
      <w:b/>
      <w:bCs/>
      <w:sz w:val="28"/>
      <w:szCs w:val="28"/>
    </w:rPr>
  </w:style>
  <w:style w:type="character" w:default="1" w:styleId="16">
    <w:name w:val="Default Paragraph Font"/>
    <w:semiHidden/>
    <w:unhideWhenUsed/>
    <w:qFormat/>
    <w:uiPriority w:val="1"/>
  </w:style>
  <w:style w:type="table" w:default="1" w:styleId="14">
    <w:name w:val="Normal Table"/>
    <w:semiHidden/>
    <w:unhideWhenUsed/>
    <w:uiPriority w:val="99"/>
    <w:tblPr>
      <w:tblCellMar>
        <w:top w:w="0" w:type="dxa"/>
        <w:left w:w="108" w:type="dxa"/>
        <w:bottom w:w="0" w:type="dxa"/>
        <w:right w:w="108" w:type="dxa"/>
      </w:tblCellMar>
    </w:tblPr>
  </w:style>
  <w:style w:type="paragraph" w:styleId="6">
    <w:name w:val="annotation text"/>
    <w:basedOn w:val="1"/>
    <w:link w:val="29"/>
    <w:qFormat/>
    <w:uiPriority w:val="0"/>
    <w:pPr>
      <w:jc w:val="left"/>
    </w:pPr>
  </w:style>
  <w:style w:type="paragraph" w:styleId="7">
    <w:name w:val="Date"/>
    <w:basedOn w:val="1"/>
    <w:next w:val="1"/>
    <w:link w:val="25"/>
    <w:unhideWhenUsed/>
    <w:qFormat/>
    <w:uiPriority w:val="99"/>
    <w:pPr>
      <w:ind w:left="100" w:leftChars="2500"/>
    </w:pPr>
    <w:rPr>
      <w:rFonts w:cs="Times New Roman"/>
    </w:rPr>
  </w:style>
  <w:style w:type="paragraph" w:styleId="8">
    <w:name w:val="Balloon Text"/>
    <w:basedOn w:val="1"/>
    <w:link w:val="21"/>
    <w:qFormat/>
    <w:uiPriority w:val="0"/>
    <w:rPr>
      <w:rFonts w:ascii="Times New Roman" w:hAnsi="Times New Roman" w:cs="Times New Roman"/>
      <w:kern w:val="0"/>
      <w:sz w:val="18"/>
      <w:szCs w:val="18"/>
    </w:rPr>
  </w:style>
  <w:style w:type="paragraph" w:styleId="9">
    <w:name w:val="footer"/>
    <w:basedOn w:val="1"/>
    <w:link w:val="22"/>
    <w:qFormat/>
    <w:uiPriority w:val="0"/>
    <w:pPr>
      <w:tabs>
        <w:tab w:val="center" w:pos="4153"/>
        <w:tab w:val="right" w:pos="8306"/>
      </w:tabs>
      <w:snapToGrid w:val="0"/>
      <w:jc w:val="left"/>
    </w:pPr>
    <w:rPr>
      <w:rFonts w:ascii="Times New Roman" w:hAnsi="Times New Roman" w:cs="Times New Roman"/>
      <w:kern w:val="0"/>
      <w:sz w:val="18"/>
      <w:szCs w:val="18"/>
    </w:rPr>
  </w:style>
  <w:style w:type="paragraph" w:styleId="10">
    <w:name w:val="header"/>
    <w:basedOn w:val="1"/>
    <w:link w:val="24"/>
    <w:qFormat/>
    <w:uiPriority w:val="0"/>
    <w:pPr>
      <w:pBdr>
        <w:bottom w:val="single" w:color="auto" w:sz="6" w:space="1"/>
      </w:pBdr>
      <w:tabs>
        <w:tab w:val="center" w:pos="4153"/>
        <w:tab w:val="right" w:pos="8306"/>
      </w:tabs>
      <w:snapToGrid w:val="0"/>
      <w:jc w:val="center"/>
    </w:pPr>
    <w:rPr>
      <w:rFonts w:ascii="Times New Roman" w:hAnsi="Times New Roman" w:cs="Times New Roman"/>
      <w:kern w:val="0"/>
      <w:sz w:val="18"/>
      <w:szCs w:val="18"/>
    </w:rPr>
  </w:style>
  <w:style w:type="paragraph" w:styleId="11">
    <w:name w:val="Normal (Web)"/>
    <w:basedOn w:val="1"/>
    <w:unhideWhenUsed/>
    <w:qFormat/>
    <w:uiPriority w:val="99"/>
    <w:pPr>
      <w:widowControl/>
      <w:spacing w:before="100" w:beforeAutospacing="1" w:after="100" w:afterAutospacing="1"/>
      <w:jc w:val="left"/>
    </w:pPr>
    <w:rPr>
      <w:rFonts w:ascii="宋体" w:hAnsi="宋体" w:cs="宋体"/>
      <w:kern w:val="0"/>
      <w:sz w:val="24"/>
      <w:szCs w:val="24"/>
    </w:rPr>
  </w:style>
  <w:style w:type="paragraph" w:styleId="12">
    <w:name w:val="Title"/>
    <w:basedOn w:val="1"/>
    <w:next w:val="1"/>
    <w:link w:val="27"/>
    <w:qFormat/>
    <w:uiPriority w:val="10"/>
    <w:pPr>
      <w:spacing w:before="240" w:after="60"/>
      <w:jc w:val="center"/>
      <w:outlineLvl w:val="0"/>
    </w:pPr>
    <w:rPr>
      <w:rFonts w:ascii="等线 Light" w:hAnsi="等线 Light" w:eastAsia="等线 Light" w:cs="Times New Roman"/>
      <w:b/>
      <w:bCs/>
      <w:sz w:val="32"/>
      <w:szCs w:val="32"/>
    </w:rPr>
  </w:style>
  <w:style w:type="paragraph" w:styleId="13">
    <w:name w:val="annotation subject"/>
    <w:basedOn w:val="6"/>
    <w:next w:val="6"/>
    <w:link w:val="30"/>
    <w:semiHidden/>
    <w:unhideWhenUsed/>
    <w:qFormat/>
    <w:uiPriority w:val="99"/>
    <w:rPr>
      <w:b/>
      <w:bCs/>
    </w:rPr>
  </w:style>
  <w:style w:type="table" w:styleId="15">
    <w:name w:val="Table Grid"/>
    <w:basedOn w:val="14"/>
    <w:qFormat/>
    <w:uiPriority w:val="39"/>
    <w:rPr>
      <w:rFonts w:ascii="等线" w:hAnsi="等线" w:eastAsia="等线"/>
      <w:kern w:val="2"/>
      <w:sz w:val="21"/>
      <w:szCs w:val="24"/>
    </w:r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character" w:styleId="17">
    <w:name w:val="FollowedHyperlink"/>
    <w:basedOn w:val="16"/>
    <w:semiHidden/>
    <w:unhideWhenUsed/>
    <w:uiPriority w:val="99"/>
    <w:rPr>
      <w:color w:val="954F72" w:themeColor="followedHyperlink"/>
      <w:u w:val="single"/>
      <w14:textFill>
        <w14:solidFill>
          <w14:schemeClr w14:val="folHlink"/>
        </w14:solidFill>
      </w14:textFill>
    </w:rPr>
  </w:style>
  <w:style w:type="character" w:styleId="18">
    <w:name w:val="Hyperlink"/>
    <w:unhideWhenUsed/>
    <w:qFormat/>
    <w:uiPriority w:val="99"/>
    <w:rPr>
      <w:color w:val="0000FF"/>
      <w:u w:val="single"/>
    </w:rPr>
  </w:style>
  <w:style w:type="character" w:styleId="19">
    <w:name w:val="annotation reference"/>
    <w:semiHidden/>
    <w:unhideWhenUsed/>
    <w:qFormat/>
    <w:uiPriority w:val="99"/>
    <w:rPr>
      <w:sz w:val="21"/>
      <w:szCs w:val="21"/>
    </w:rPr>
  </w:style>
  <w:style w:type="character" w:customStyle="1" w:styleId="20">
    <w:name w:val="t_tag"/>
    <w:basedOn w:val="16"/>
    <w:qFormat/>
    <w:uiPriority w:val="0"/>
  </w:style>
  <w:style w:type="character" w:customStyle="1" w:styleId="21">
    <w:name w:val="Balloon Text Char"/>
    <w:link w:val="8"/>
    <w:qFormat/>
    <w:uiPriority w:val="0"/>
    <w:rPr>
      <w:sz w:val="18"/>
      <w:szCs w:val="18"/>
    </w:rPr>
  </w:style>
  <w:style w:type="character" w:customStyle="1" w:styleId="22">
    <w:name w:val="Footer Char"/>
    <w:link w:val="9"/>
    <w:qFormat/>
    <w:uiPriority w:val="0"/>
    <w:rPr>
      <w:sz w:val="18"/>
      <w:szCs w:val="18"/>
    </w:rPr>
  </w:style>
  <w:style w:type="character" w:customStyle="1" w:styleId="23">
    <w:name w:val="未处理的提及1"/>
    <w:unhideWhenUsed/>
    <w:qFormat/>
    <w:uiPriority w:val="99"/>
    <w:rPr>
      <w:color w:val="605E5C"/>
      <w:shd w:val="clear" w:color="auto" w:fill="E1DFDD"/>
    </w:rPr>
  </w:style>
  <w:style w:type="character" w:customStyle="1" w:styleId="24">
    <w:name w:val="Header Char"/>
    <w:link w:val="10"/>
    <w:qFormat/>
    <w:uiPriority w:val="0"/>
    <w:rPr>
      <w:sz w:val="18"/>
      <w:szCs w:val="18"/>
    </w:rPr>
  </w:style>
  <w:style w:type="character" w:customStyle="1" w:styleId="25">
    <w:name w:val="Date Char"/>
    <w:link w:val="7"/>
    <w:semiHidden/>
    <w:qFormat/>
    <w:uiPriority w:val="99"/>
    <w:rPr>
      <w:rFonts w:ascii="Calibri" w:hAnsi="Calibri" w:cs="黑体"/>
      <w:kern w:val="2"/>
      <w:sz w:val="21"/>
      <w:szCs w:val="22"/>
    </w:rPr>
  </w:style>
  <w:style w:type="paragraph" w:customStyle="1" w:styleId="26">
    <w:name w:val="List Paragraph1"/>
    <w:basedOn w:val="1"/>
    <w:qFormat/>
    <w:uiPriority w:val="0"/>
    <w:pPr>
      <w:ind w:firstLine="420" w:firstLineChars="200"/>
    </w:pPr>
  </w:style>
  <w:style w:type="character" w:customStyle="1" w:styleId="27">
    <w:name w:val="Title Char"/>
    <w:link w:val="12"/>
    <w:qFormat/>
    <w:uiPriority w:val="10"/>
    <w:rPr>
      <w:rFonts w:ascii="等线 Light" w:hAnsi="等线 Light" w:eastAsia="等线 Light"/>
      <w:b/>
      <w:bCs/>
      <w:kern w:val="2"/>
      <w:sz w:val="32"/>
      <w:szCs w:val="32"/>
    </w:rPr>
  </w:style>
  <w:style w:type="character" w:customStyle="1" w:styleId="28">
    <w:name w:val="Heading 1 Char"/>
    <w:link w:val="2"/>
    <w:qFormat/>
    <w:uiPriority w:val="9"/>
    <w:rPr>
      <w:rFonts w:ascii="宋体" w:hAnsi="宋体" w:cs="宋体"/>
      <w:b/>
      <w:bCs/>
      <w:kern w:val="36"/>
      <w:sz w:val="48"/>
      <w:szCs w:val="48"/>
    </w:rPr>
  </w:style>
  <w:style w:type="character" w:customStyle="1" w:styleId="29">
    <w:name w:val="Comment Text Char"/>
    <w:link w:val="6"/>
    <w:qFormat/>
    <w:uiPriority w:val="0"/>
    <w:rPr>
      <w:rFonts w:ascii="Calibri" w:hAnsi="Calibri" w:cs="黑体"/>
      <w:kern w:val="2"/>
      <w:sz w:val="21"/>
      <w:szCs w:val="22"/>
    </w:rPr>
  </w:style>
  <w:style w:type="character" w:customStyle="1" w:styleId="30">
    <w:name w:val="Comment Subject Char"/>
    <w:link w:val="13"/>
    <w:semiHidden/>
    <w:qFormat/>
    <w:uiPriority w:val="99"/>
    <w:rPr>
      <w:rFonts w:ascii="Calibri" w:hAnsi="Calibri" w:cs="黑体"/>
      <w:b/>
      <w:bCs/>
      <w:kern w:val="2"/>
      <w:sz w:val="21"/>
      <w:szCs w:val="22"/>
    </w:rPr>
  </w:style>
  <w:style w:type="character" w:customStyle="1" w:styleId="31">
    <w:name w:val="Heading 4 Char"/>
    <w:link w:val="5"/>
    <w:semiHidden/>
    <w:qFormat/>
    <w:uiPriority w:val="9"/>
    <w:rPr>
      <w:rFonts w:ascii="等线 Light" w:hAnsi="等线 Light" w:eastAsia="等线 Light" w:cs="Times New Roman"/>
      <w:b/>
      <w:bCs/>
      <w:kern w:val="2"/>
      <w:sz w:val="28"/>
      <w:szCs w:val="28"/>
    </w:rPr>
  </w:style>
  <w:style w:type="paragraph" w:customStyle="1" w:styleId="32">
    <w:name w:val="修订1"/>
    <w:hidden/>
    <w:unhideWhenUsed/>
    <w:qFormat/>
    <w:uiPriority w:val="99"/>
    <w:rPr>
      <w:rFonts w:ascii="Calibri" w:hAnsi="Calibri" w:eastAsia="宋体" w:cs="黑体"/>
      <w:kern w:val="2"/>
      <w:sz w:val="21"/>
      <w:szCs w:val="22"/>
      <w:lang w:val="en-US" w:eastAsia="zh-CN" w:bidi="ar-SA"/>
    </w:rPr>
  </w:style>
  <w:style w:type="character" w:customStyle="1" w:styleId="33">
    <w:name w:val="Unresolved Mention"/>
    <w:basedOn w:val="16"/>
    <w:uiPriority w:val="99"/>
    <w:rPr>
      <w:color w:val="605E5C"/>
      <w:shd w:val="clear" w:color="auto" w:fill="E1DFDD"/>
    </w:rPr>
  </w:style>
  <w:style w:type="paragraph" w:styleId="34">
    <w:name w:val="List Paragraph"/>
    <w:basedOn w:val="1"/>
    <w:uiPriority w:val="99"/>
    <w:pPr>
      <w:ind w:left="720"/>
      <w:contextualSpacing/>
    </w:pPr>
  </w:style>
  <w:style w:type="paragraph" w:customStyle="1" w:styleId="35">
    <w:name w:val="Revision"/>
    <w:hidden/>
    <w:semiHidden/>
    <w:uiPriority w:val="99"/>
    <w:rPr>
      <w:rFonts w:ascii="Calibri" w:hAnsi="Calibri" w:eastAsia="宋体" w:cs="黑体"/>
      <w:kern w:val="2"/>
      <w:sz w:val="21"/>
      <w:szCs w:val="22"/>
      <w:lang w:val="en-US" w:eastAsia="zh-CN" w:bidi="ar-SA"/>
    </w:rPr>
  </w:style>
  <w:style w:type="character" w:customStyle="1" w:styleId="36">
    <w:name w:val="Heading 2 Char"/>
    <w:basedOn w:val="16"/>
    <w:link w:val="3"/>
    <w:semiHidden/>
    <w:uiPriority w:val="9"/>
    <w:rPr>
      <w:rFonts w:asciiTheme="majorHAnsi" w:hAnsiTheme="majorHAnsi" w:eastAsiaTheme="majorEastAsia" w:cstheme="majorBidi"/>
      <w:color w:val="2F5597" w:themeColor="accent1" w:themeShade="BF"/>
      <w:kern w:val="2"/>
      <w:sz w:val="26"/>
      <w:szCs w:val="26"/>
    </w:rPr>
  </w:style>
  <w:style w:type="character" w:customStyle="1" w:styleId="37">
    <w:name w:val="Heading 3 Char"/>
    <w:basedOn w:val="16"/>
    <w:link w:val="4"/>
    <w:semiHidden/>
    <w:uiPriority w:val="9"/>
    <w:rPr>
      <w:rFonts w:asciiTheme="majorHAnsi" w:hAnsiTheme="majorHAnsi" w:eastAsiaTheme="majorEastAsia" w:cstheme="majorBidi"/>
      <w:color w:val="203864" w:themeColor="accent1" w:themeShade="80"/>
      <w:kern w:val="2"/>
      <w:sz w:val="24"/>
      <w:szCs w:val="24"/>
    </w:rPr>
  </w:style>
</w:styles>
</file>

<file path=word/_rels/document.xml.rels><?xml version="1.0" encoding="UTF-8" standalone="yes"?>
<Relationships xmlns="http://schemas.openxmlformats.org/package/2006/relationships"><Relationship Id="rId9" Type="http://schemas.openxmlformats.org/officeDocument/2006/relationships/theme" Target="theme/theme1.xml"/><Relationship Id="rId8" Type="http://schemas.openxmlformats.org/officeDocument/2006/relationships/footer" Target="footer3.xml"/><Relationship Id="rId7" Type="http://schemas.openxmlformats.org/officeDocument/2006/relationships/footer" Target="footer2.xml"/><Relationship Id="rId6" Type="http://schemas.openxmlformats.org/officeDocument/2006/relationships/footer" Target="footer1.xml"/><Relationship Id="rId5" Type="http://schemas.openxmlformats.org/officeDocument/2006/relationships/header" Target="header3.xml"/><Relationship Id="rId4" Type="http://schemas.openxmlformats.org/officeDocument/2006/relationships/header" Target="header2.xml"/><Relationship Id="rId3" Type="http://schemas.openxmlformats.org/officeDocument/2006/relationships/header" Target="header1.xml"/><Relationship Id="rId2" Type="http://schemas.openxmlformats.org/officeDocument/2006/relationships/settings" Target="settings.xml"/><Relationship Id="rId15" Type="http://schemas.openxmlformats.org/officeDocument/2006/relationships/fontTable" Target="fontTable.xml"/><Relationship Id="rId14" Type="http://schemas.openxmlformats.org/officeDocument/2006/relationships/customXml" Target="../customXml/item2.xml"/><Relationship Id="rId13" Type="http://schemas.openxmlformats.org/officeDocument/2006/relationships/customXml" Target="../customXml/item1.xml"/><Relationship Id="rId12" Type="http://schemas.openxmlformats.org/officeDocument/2006/relationships/image" Target="media/image4.jpeg"/><Relationship Id="rId11" Type="http://schemas.openxmlformats.org/officeDocument/2006/relationships/image" Target="media/image3.png"/><Relationship Id="rId10" Type="http://schemas.openxmlformats.org/officeDocument/2006/relationships/image" Target="media/image2.jpeg"/><Relationship Id="rId1" Type="http://schemas.openxmlformats.org/officeDocument/2006/relationships/styles" Target="styles.xml"/></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s:customData xmlns="http://www.wps.cn/officeDocument/2013/wpsCustomData" xmlns:s="http://www.wps.cn/officeDocument/2013/wpsCustomData">
  <customSectProps/>
  <customShpExts>
    <customShpInfo spid="_x0000_s1026"/>
  </customShpExts>
</s:customData>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customXml/itemProps2.xml><?xml version="1.0" encoding="utf-8"?>
<ds:datastoreItem xmlns:ds="http://schemas.openxmlformats.org/officeDocument/2006/customXml" ds:itemID="{7F09562B-B8CE-C847-9F22-8912694A09FA}">
  <ds:schemaRefs/>
</ds:datastoreItem>
</file>

<file path=docProps/app.xml><?xml version="1.0" encoding="utf-8"?>
<Properties xmlns="http://schemas.openxmlformats.org/officeDocument/2006/extended-properties" xmlns:vt="http://schemas.openxmlformats.org/officeDocument/2006/docPropsVTypes">
  <Template>Normal.dotm</Template>
  <Company>湘慧科技</Company>
  <Pages>4</Pages>
  <Words>833</Words>
  <Characters>4670</Characters>
  <Lines>40</Lines>
  <Paragraphs>11</Paragraphs>
  <TotalTime>1</TotalTime>
  <ScaleCrop>false</ScaleCrop>
  <LinksUpToDate>false</LinksUpToDate>
  <CharactersWithSpaces>5485</CharactersWithSpaces>
  <Application>WPS Office_12.1.0.23125_F1E327BC-269C-435d-A152-05C5408002CA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2025-10-27T18:57:00Z</dcterms:created>
  <dc:creator>Allison Eilhardt</dc:creator>
  <cp:lastModifiedBy>Kathy, 夏思思</cp:lastModifiedBy>
  <cp:lastPrinted>2025-03-18T00:18:00Z</cp:lastPrinted>
  <dcterms:modified xsi:type="dcterms:W3CDTF">2025-10-30T10:16:28Z</dcterms:modified>
  <dc:title>微软用户</dc:title>
  <cp:revision>2</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2052-12.1.0.23125</vt:lpwstr>
  </property>
  <property fmtid="{D5CDD505-2E9C-101B-9397-08002B2CF9AE}" pid="3" name="grammarly_documentId">
    <vt:lpwstr>documentId_7894</vt:lpwstr>
  </property>
  <property fmtid="{D5CDD505-2E9C-101B-9397-08002B2CF9AE}" pid="4" name="grammarly_documentContext">
    <vt:lpwstr>{"goals":[],"domain":"general","emotions":[],"dialect":"american"}</vt:lpwstr>
  </property>
  <property fmtid="{D5CDD505-2E9C-101B-9397-08002B2CF9AE}" pid="5" name="ICV">
    <vt:lpwstr>DAD65B27F12E414EA526C1B7C3CA4DE5</vt:lpwstr>
  </property>
  <property fmtid="{D5CDD505-2E9C-101B-9397-08002B2CF9AE}" pid="6" name="KSOTemplateDocerSaveRecord">
    <vt:lpwstr>eyJoZGlkIjoiN2MwZTRiNTEwYWU0YmNiOTYyNTAyMjQyZDI4OWQyMTkiLCJ1c2VySWQiOiI0NjA1NjU5OTMifQ==</vt:lpwstr>
  </property>
</Properties>
</file>